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color w:val="333333"/>
          <w:sz w:val="29"/>
          <w:szCs w:val="29"/>
          <w:shd w:val="clear" w:color="auto" w:fill="ffffff"/>
          <w:rtl w:val="0"/>
        </w:rPr>
      </w:pP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it-IT"/>
        </w:rPr>
        <w:t>Per la prova in itinere sar</w:t>
      </w:r>
      <w:r>
        <w:rPr>
          <w:rFonts w:ascii="Times" w:hAnsi="Times" w:hint="default"/>
          <w:color w:val="333333"/>
          <w:sz w:val="29"/>
          <w:szCs w:val="29"/>
          <w:shd w:val="clear" w:color="auto" w:fill="ffffff"/>
          <w:rtl w:val="0"/>
          <w:lang w:val="it-IT"/>
        </w:rPr>
        <w:t xml:space="preserve">à </w:t>
      </w: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it-IT"/>
        </w:rPr>
        <w:t>necessario studiare i seguenti testi nelle parti indicate: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shd w:val="clear" w:color="auto" w:fill="ffffff"/>
          <w:rtl w:val="0"/>
        </w:rPr>
      </w:pP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</w:rPr>
        <w:t xml:space="preserve">- Biber, Douglas et al. 1999. </w:t>
      </w:r>
      <w:r>
        <w:rPr>
          <w:rFonts w:ascii="Times" w:hAnsi="Times"/>
          <w:i w:val="1"/>
          <w:iCs w:val="1"/>
          <w:color w:val="333333"/>
          <w:sz w:val="29"/>
          <w:szCs w:val="29"/>
          <w:shd w:val="clear" w:color="auto" w:fill="ffffff"/>
          <w:rtl w:val="0"/>
          <w:lang w:val="en-US"/>
        </w:rPr>
        <w:t>Longman Grammar of Spoken and Written English</w:t>
      </w: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it-IT"/>
        </w:rPr>
        <w:t>. London: Longman. Capitolo da studiare: 14, The grammar of conversation, pp. 1038-1125. Questo capitolo sar</w:t>
      </w:r>
      <w:r>
        <w:rPr>
          <w:rFonts w:ascii="Times" w:hAnsi="Times" w:hint="default"/>
          <w:color w:val="333333"/>
          <w:sz w:val="29"/>
          <w:szCs w:val="29"/>
          <w:shd w:val="clear" w:color="auto" w:fill="ffffff"/>
          <w:rtl w:val="0"/>
          <w:lang w:val="fr-FR"/>
        </w:rPr>
        <w:t xml:space="preserve">à </w:t>
      </w: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it-IT"/>
        </w:rPr>
        <w:t xml:space="preserve">reso disponibile tramite Studium.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shd w:val="clear" w:color="auto" w:fill="ffffff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after="240" w:line="340" w:lineRule="atLeast"/>
        <w:ind w:right="0"/>
        <w:jc w:val="left"/>
        <w:rPr>
          <w:rFonts w:ascii="Times" w:cs="Times" w:hAnsi="Times" w:eastAsia="Times"/>
          <w:color w:val="333333"/>
          <w:sz w:val="29"/>
          <w:szCs w:val="29"/>
          <w:shd w:val="clear" w:color="auto" w:fill="ffffff"/>
          <w:rtl w:val="0"/>
        </w:rPr>
      </w:pP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</w:rPr>
        <w:t>O</w:t>
      </w:r>
      <w:r>
        <w:rPr>
          <w:rFonts w:ascii="Times" w:hAnsi="Times" w:hint="default"/>
          <w:color w:val="333333"/>
          <w:sz w:val="29"/>
          <w:szCs w:val="29"/>
          <w:shd w:val="clear" w:color="auto" w:fill="ffffff"/>
          <w:rtl w:val="0"/>
        </w:rPr>
        <w:t>’</w:t>
      </w: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nl-NL"/>
        </w:rPr>
        <w:t xml:space="preserve">Keeffe, Anne. 2006. </w:t>
      </w:r>
      <w:r>
        <w:rPr>
          <w:rFonts w:ascii="Times" w:hAnsi="Times"/>
          <w:i w:val="1"/>
          <w:iCs w:val="1"/>
          <w:color w:val="333333"/>
          <w:sz w:val="29"/>
          <w:szCs w:val="29"/>
          <w:shd w:val="clear" w:color="auto" w:fill="ffffff"/>
          <w:rtl w:val="0"/>
          <w:lang w:val="en-US"/>
        </w:rPr>
        <w:t>Investigating Media Discourse</w:t>
      </w: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it-IT"/>
        </w:rPr>
        <w:t>. London/New York: Routledge. Capitoli da studiare:</w:t>
      </w:r>
    </w:p>
    <w:p>
      <w:pPr>
        <w:pStyle w:val="Default"/>
        <w:numPr>
          <w:ilvl w:val="0"/>
          <w:numId w:val="2"/>
        </w:numPr>
        <w:bidi w:val="0"/>
        <w:spacing w:after="240" w:line="340" w:lineRule="atLeast"/>
        <w:ind w:right="0"/>
        <w:jc w:val="left"/>
        <w:rPr>
          <w:rFonts w:ascii="Times" w:cs="Times" w:hAnsi="Times" w:eastAsia="Times"/>
          <w:color w:val="000000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fr-FR"/>
        </w:rPr>
        <w:t xml:space="preserve"> -1, Introduction, pp. 1-13;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333333"/>
          <w:sz w:val="29"/>
          <w:szCs w:val="29"/>
          <w:shd w:val="clear" w:color="auto" w:fill="ffffff"/>
          <w:rtl w:val="0"/>
        </w:rPr>
        <w:br w:type="textWrapping"/>
      </w: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en-US"/>
        </w:rPr>
        <w:t>-3, Review of methodologies for analysing media discourse, pp. 32-61;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333333"/>
          <w:sz w:val="29"/>
          <w:szCs w:val="29"/>
          <w:shd w:val="clear" w:color="auto" w:fill="ffffff"/>
          <w:rtl w:val="0"/>
        </w:rPr>
        <w:br w:type="textWrapping"/>
      </w: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en-US"/>
        </w:rPr>
        <w:t xml:space="preserve">-4, Managing the discourse, pp. 62-89; </w:t>
      </w: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drawing>
          <wp:inline distT="0" distB="0" distL="0" distR="0">
            <wp:extent cx="6120057" cy="1159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2image1724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15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 </w:t>
      </w:r>
    </w:p>
    <w:p>
      <w:pPr>
        <w:pStyle w:val="Default"/>
        <w:bidi w:val="0"/>
        <w:spacing w:after="240" w:line="34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color w:val="333333"/>
          <w:sz w:val="29"/>
          <w:szCs w:val="29"/>
          <w:shd w:val="clear" w:color="auto" w:fill="ffffff"/>
          <w:rtl w:val="0"/>
          <w:lang w:val="en-US"/>
        </w:rPr>
        <w:t xml:space="preserve">-5, Creating and sustaining pseudo-relationships, pp. 90-126. </w:t>
      </w:r>
      <w:r>
        <w:rPr>
          <w:rFonts w:ascii="Times" w:cs="Times" w:hAnsi="Times" w:eastAsia="Times"/>
          <w:color w:val="000000"/>
          <w:sz w:val="24"/>
          <w:szCs w:val="24"/>
          <w:shd w:val="clear" w:color="auto" w:fill="ffffff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20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