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938"/>
      </w:tblGrid>
      <w:tr w:rsidR="00F314FD" w:rsidRPr="00A7049C" w14:paraId="490B80C0" w14:textId="77777777" w:rsidTr="000C47E2">
        <w:trPr>
          <w:trHeight w:val="830"/>
        </w:trPr>
        <w:tc>
          <w:tcPr>
            <w:tcW w:w="10349" w:type="dxa"/>
            <w:gridSpan w:val="2"/>
            <w:shd w:val="clear" w:color="auto" w:fill="auto"/>
          </w:tcPr>
          <w:p w14:paraId="09138DD9" w14:textId="77777777" w:rsidR="00F314FD" w:rsidRPr="007E4180" w:rsidRDefault="00AF63BD" w:rsidP="00507E24">
            <w:pPr>
              <w:jc w:val="center"/>
            </w:pPr>
            <w:r w:rsidRPr="003E62E3">
              <w:rPr>
                <w:noProof/>
              </w:rPr>
              <w:drawing>
                <wp:inline distT="0" distB="0" distL="0" distR="0" wp14:anchorId="34FFE617" wp14:editId="582ACD02">
                  <wp:extent cx="495300" cy="495300"/>
                  <wp:effectExtent l="0" t="0" r="0" b="0"/>
                  <wp:docPr id="1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57DBF" w14:textId="77777777" w:rsidR="00F314FD" w:rsidRPr="00507E24" w:rsidRDefault="00AF63BD" w:rsidP="006F0DFF">
            <w:pPr>
              <w:pStyle w:val="Titolo2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D079898" wp14:editId="2775FB60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582295</wp:posOffset>
                      </wp:positionV>
                      <wp:extent cx="635" cy="635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10D2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5pt,45.85pt" to="94.6pt,4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" o:allowincell="f" strokeweight=".5pt">
                      <v:stroke startarrowwidth="narrow" startarrowlength="short" endarrowwidth="narrow" endarrowlength="short"/>
                      <o:lock v:ext="edit" shapetype="f"/>
                    </v:line>
                  </w:pict>
                </mc:Fallback>
              </mc:AlternateContent>
            </w:r>
            <w:r w:rsidR="00F314FD" w:rsidRPr="00507E24">
              <w:rPr>
                <w:sz w:val="24"/>
              </w:rPr>
              <w:t>UNIVERSITÀ DI CATANIA</w:t>
            </w:r>
          </w:p>
          <w:p w14:paraId="7525DFE6" w14:textId="77777777" w:rsidR="00F314FD" w:rsidRPr="00A7049C" w:rsidRDefault="00F314FD" w:rsidP="00F804B0">
            <w:pPr>
              <w:pStyle w:val="Titolo1"/>
              <w:spacing w:line="240" w:lineRule="auto"/>
            </w:pPr>
            <w:r w:rsidRPr="007E4180">
              <w:t>Dipa</w:t>
            </w:r>
            <w:r w:rsidR="00F804B0">
              <w:t>rtimento di Scienze Umanistiche</w:t>
            </w:r>
          </w:p>
        </w:tc>
      </w:tr>
      <w:tr w:rsidR="00F314FD" w:rsidRPr="00A7049C" w14:paraId="7753AB80" w14:textId="77777777" w:rsidTr="000C47E2">
        <w:tc>
          <w:tcPr>
            <w:tcW w:w="2411" w:type="dxa"/>
            <w:shd w:val="clear" w:color="auto" w:fill="auto"/>
          </w:tcPr>
          <w:p w14:paraId="59572BE0" w14:textId="77777777" w:rsidR="00F314FD" w:rsidRPr="00F804B0" w:rsidRDefault="00F804B0" w:rsidP="006665E0">
            <w:pPr>
              <w:rPr>
                <w:b/>
              </w:rPr>
            </w:pPr>
            <w:r w:rsidRPr="00F804B0">
              <w:rPr>
                <w:b/>
              </w:rPr>
              <w:t>Docente</w:t>
            </w:r>
          </w:p>
        </w:tc>
        <w:tc>
          <w:tcPr>
            <w:tcW w:w="7938" w:type="dxa"/>
            <w:shd w:val="clear" w:color="auto" w:fill="auto"/>
          </w:tcPr>
          <w:p w14:paraId="003B2052" w14:textId="77777777" w:rsidR="00F314FD" w:rsidRPr="00A7049C" w:rsidRDefault="00076B99" w:rsidP="00507E24">
            <w:pPr>
              <w:spacing w:before="100" w:beforeAutospacing="1" w:after="100" w:afterAutospacing="1" w:line="276" w:lineRule="auto"/>
            </w:pPr>
            <w:r>
              <w:t>Sebastiano   VECCHIO</w:t>
            </w:r>
          </w:p>
        </w:tc>
      </w:tr>
      <w:tr w:rsidR="00F314FD" w:rsidRPr="00A7049C" w14:paraId="4183DBA0" w14:textId="77777777" w:rsidTr="000C47E2">
        <w:tc>
          <w:tcPr>
            <w:tcW w:w="2411" w:type="dxa"/>
            <w:shd w:val="clear" w:color="auto" w:fill="auto"/>
          </w:tcPr>
          <w:p w14:paraId="5FE732CE" w14:textId="77777777" w:rsidR="00F314FD" w:rsidRPr="00F804B0" w:rsidRDefault="00F314FD" w:rsidP="00175DD8">
            <w:pPr>
              <w:rPr>
                <w:b/>
              </w:rPr>
            </w:pPr>
            <w:r w:rsidRPr="00F804B0">
              <w:rPr>
                <w:b/>
              </w:rPr>
              <w:t xml:space="preserve">DENOMINAZIONE 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394E0E0" w14:textId="77777777" w:rsidR="00F314FD" w:rsidRPr="00A7049C" w:rsidRDefault="00DF2728" w:rsidP="00F74000">
            <w:r>
              <w:t xml:space="preserve">     </w:t>
            </w:r>
            <w:r w:rsidR="00F74000">
              <w:t>Filosofia delle lingue</w:t>
            </w:r>
          </w:p>
        </w:tc>
      </w:tr>
      <w:tr w:rsidR="00F314FD" w:rsidRPr="00A7049C" w14:paraId="7920C814" w14:textId="77777777" w:rsidTr="000C47E2">
        <w:trPr>
          <w:trHeight w:val="289"/>
        </w:trPr>
        <w:tc>
          <w:tcPr>
            <w:tcW w:w="2411" w:type="dxa"/>
            <w:shd w:val="clear" w:color="auto" w:fill="auto"/>
            <w:vAlign w:val="center"/>
          </w:tcPr>
          <w:p w14:paraId="7A8D5254" w14:textId="77777777" w:rsidR="00F314FD" w:rsidRPr="00F804B0" w:rsidRDefault="00175DD8" w:rsidP="00175DD8">
            <w:pPr>
              <w:rPr>
                <w:b/>
              </w:rPr>
            </w:pPr>
            <w:r>
              <w:rPr>
                <w:b/>
              </w:rPr>
              <w:t xml:space="preserve">Settore </w:t>
            </w:r>
            <w:proofErr w:type="gramStart"/>
            <w:r>
              <w:rPr>
                <w:b/>
              </w:rPr>
              <w:t>scient.-</w:t>
            </w:r>
            <w:proofErr w:type="gramEnd"/>
            <w:r>
              <w:rPr>
                <w:b/>
              </w:rPr>
              <w:t>disc.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A9C4C1E" w14:textId="77777777" w:rsidR="00F314FD" w:rsidRPr="00A7049C" w:rsidRDefault="00CD42C1" w:rsidP="006F0DFF">
            <w:r>
              <w:t>M-FIL/05</w:t>
            </w:r>
          </w:p>
        </w:tc>
      </w:tr>
      <w:tr w:rsidR="00262178" w:rsidRPr="00A7049C" w14:paraId="62EE73BA" w14:textId="77777777" w:rsidTr="00262178">
        <w:trPr>
          <w:trHeight w:val="281"/>
        </w:trPr>
        <w:tc>
          <w:tcPr>
            <w:tcW w:w="2411" w:type="dxa"/>
            <w:shd w:val="clear" w:color="auto" w:fill="auto"/>
          </w:tcPr>
          <w:p w14:paraId="79A89568" w14:textId="77777777" w:rsidR="00262178" w:rsidRPr="00F804B0" w:rsidRDefault="00262178" w:rsidP="00175DD8">
            <w:pPr>
              <w:rPr>
                <w:b/>
              </w:rPr>
            </w:pPr>
            <w:r w:rsidRPr="00F804B0">
              <w:rPr>
                <w:b/>
              </w:rPr>
              <w:t xml:space="preserve">Corso di </w:t>
            </w:r>
            <w:r>
              <w:rPr>
                <w:b/>
              </w:rPr>
              <w:t xml:space="preserve">Studi </w:t>
            </w:r>
          </w:p>
        </w:tc>
        <w:tc>
          <w:tcPr>
            <w:tcW w:w="7938" w:type="dxa"/>
            <w:shd w:val="clear" w:color="auto" w:fill="auto"/>
          </w:tcPr>
          <w:p w14:paraId="5378B795" w14:textId="77777777" w:rsidR="00262178" w:rsidRDefault="00262178" w:rsidP="00262178">
            <w:pPr>
              <w:ind w:left="360"/>
            </w:pPr>
            <w:r>
              <w:t>Laurea Magistrale in: Lingue e letterature comparate</w:t>
            </w:r>
            <w:r w:rsidR="00552615">
              <w:t xml:space="preserve"> (LLC)</w:t>
            </w:r>
          </w:p>
          <w:p w14:paraId="5927B242" w14:textId="77777777" w:rsidR="00262178" w:rsidRPr="00A7049C" w:rsidRDefault="00262178" w:rsidP="00262178">
            <w:pPr>
              <w:ind w:left="360"/>
            </w:pPr>
            <w:r>
              <w:t>Laurea Magistrale in: Lingue per la cooperazione internazionale</w:t>
            </w:r>
            <w:r w:rsidR="00552615">
              <w:t xml:space="preserve"> (LCI)</w:t>
            </w:r>
          </w:p>
        </w:tc>
      </w:tr>
      <w:tr w:rsidR="00262178" w:rsidRPr="00A7049C" w14:paraId="6941EAFF" w14:textId="77777777" w:rsidTr="00262178">
        <w:tc>
          <w:tcPr>
            <w:tcW w:w="2411" w:type="dxa"/>
            <w:shd w:val="clear" w:color="auto" w:fill="auto"/>
          </w:tcPr>
          <w:p w14:paraId="70DA9A08" w14:textId="77777777" w:rsidR="00262178" w:rsidRPr="00F804B0" w:rsidRDefault="00262178" w:rsidP="00175DD8">
            <w:pPr>
              <w:ind w:right="-108"/>
              <w:rPr>
                <w:b/>
              </w:rPr>
            </w:pPr>
            <w:r w:rsidRPr="00F804B0">
              <w:rPr>
                <w:b/>
              </w:rPr>
              <w:t xml:space="preserve">Anno di </w:t>
            </w:r>
            <w:r>
              <w:rPr>
                <w:b/>
              </w:rPr>
              <w:t xml:space="preserve">corso </w:t>
            </w:r>
          </w:p>
        </w:tc>
        <w:tc>
          <w:tcPr>
            <w:tcW w:w="7938" w:type="dxa"/>
            <w:shd w:val="clear" w:color="auto" w:fill="auto"/>
          </w:tcPr>
          <w:p w14:paraId="0D542197" w14:textId="77777777" w:rsidR="00262178" w:rsidRDefault="00F30DAC" w:rsidP="00262178">
            <w:pPr>
              <w:ind w:left="360"/>
            </w:pPr>
            <w:r>
              <w:t xml:space="preserve">I </w:t>
            </w:r>
            <w:proofErr w:type="gramStart"/>
            <w:r>
              <w:t xml:space="preserve">anno:   </w:t>
            </w:r>
            <w:proofErr w:type="gramEnd"/>
            <w:r>
              <w:t>LLC curric.</w:t>
            </w:r>
            <w:r w:rsidR="00262178">
              <w:t xml:space="preserve"> Euro-mediterraneo</w:t>
            </w:r>
            <w:r>
              <w:t>, curric.</w:t>
            </w:r>
            <w:r w:rsidR="00E0089A">
              <w:t xml:space="preserve"> </w:t>
            </w:r>
            <w:proofErr w:type="gramStart"/>
            <w:r w:rsidR="00E0089A">
              <w:t>comparat.</w:t>
            </w:r>
            <w:r>
              <w:t>-</w:t>
            </w:r>
            <w:proofErr w:type="gramEnd"/>
            <w:r>
              <w:t>letterario</w:t>
            </w:r>
            <w:r w:rsidR="00E0089A">
              <w:t>;     LCI</w:t>
            </w:r>
          </w:p>
          <w:p w14:paraId="6F995AEB" w14:textId="77777777" w:rsidR="00262178" w:rsidRPr="00A7049C" w:rsidRDefault="00262178" w:rsidP="00262178">
            <w:pPr>
              <w:ind w:left="360"/>
            </w:pPr>
            <w:r>
              <w:t xml:space="preserve">II </w:t>
            </w:r>
            <w:proofErr w:type="gramStart"/>
            <w:r>
              <w:t xml:space="preserve">anno: </w:t>
            </w:r>
            <w:r w:rsidR="00F30DAC">
              <w:t xml:space="preserve"> </w:t>
            </w:r>
            <w:r>
              <w:t>LLC</w:t>
            </w:r>
            <w:proofErr w:type="gramEnd"/>
            <w:r>
              <w:t xml:space="preserve"> curriculum linguistico;  </w:t>
            </w:r>
            <w:r w:rsidR="00F30DAC">
              <w:t xml:space="preserve"> </w:t>
            </w:r>
            <w:r w:rsidR="00E0089A">
              <w:t xml:space="preserve">  LCI</w:t>
            </w:r>
          </w:p>
        </w:tc>
      </w:tr>
      <w:tr w:rsidR="00F314FD" w:rsidRPr="00A7049C" w14:paraId="66516B1A" w14:textId="77777777" w:rsidTr="000C47E2">
        <w:trPr>
          <w:trHeight w:val="260"/>
        </w:trPr>
        <w:tc>
          <w:tcPr>
            <w:tcW w:w="2411" w:type="dxa"/>
            <w:shd w:val="clear" w:color="auto" w:fill="auto"/>
          </w:tcPr>
          <w:p w14:paraId="20E11BC5" w14:textId="77777777" w:rsidR="00F314FD" w:rsidRPr="00F804B0" w:rsidRDefault="00F314FD" w:rsidP="00DF2728">
            <w:pPr>
              <w:rPr>
                <w:b/>
              </w:rPr>
            </w:pPr>
            <w:r w:rsidRPr="00F804B0">
              <w:rPr>
                <w:b/>
              </w:rPr>
              <w:t xml:space="preserve">Periodo didattico 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6F313F4" w14:textId="77777777" w:rsidR="00F314FD" w:rsidRPr="00A7049C" w:rsidRDefault="00CD42C1" w:rsidP="00CD42C1">
            <w:pPr>
              <w:ind w:left="1790"/>
            </w:pPr>
            <w:r>
              <w:t xml:space="preserve">       </w:t>
            </w:r>
          </w:p>
        </w:tc>
      </w:tr>
      <w:tr w:rsidR="00F314FD" w:rsidRPr="00A7049C" w14:paraId="20067A3E" w14:textId="77777777" w:rsidTr="000C47E2">
        <w:tc>
          <w:tcPr>
            <w:tcW w:w="2411" w:type="dxa"/>
            <w:shd w:val="clear" w:color="auto" w:fill="auto"/>
          </w:tcPr>
          <w:p w14:paraId="5C86C133" w14:textId="77777777" w:rsidR="00F314FD" w:rsidRPr="00F804B0" w:rsidRDefault="00F314FD" w:rsidP="006F0DFF">
            <w:pPr>
              <w:rPr>
                <w:b/>
              </w:rPr>
            </w:pPr>
            <w:r w:rsidRPr="00F804B0">
              <w:rPr>
                <w:b/>
              </w:rPr>
              <w:t>Totale crediti: CFU</w:t>
            </w:r>
          </w:p>
        </w:tc>
        <w:tc>
          <w:tcPr>
            <w:tcW w:w="7938" w:type="dxa"/>
            <w:shd w:val="clear" w:color="auto" w:fill="auto"/>
          </w:tcPr>
          <w:p w14:paraId="38AEABED" w14:textId="77777777" w:rsidR="00F314FD" w:rsidRPr="00A7049C" w:rsidRDefault="00DF2728" w:rsidP="006F0DFF">
            <w:r>
              <w:t xml:space="preserve">       </w:t>
            </w:r>
            <w:r w:rsidR="00262178">
              <w:t>6</w:t>
            </w:r>
          </w:p>
        </w:tc>
      </w:tr>
      <w:tr w:rsidR="00F314FD" w:rsidRPr="00A7049C" w14:paraId="0946955B" w14:textId="77777777" w:rsidTr="000C47E2">
        <w:tc>
          <w:tcPr>
            <w:tcW w:w="2411" w:type="dxa"/>
            <w:shd w:val="clear" w:color="auto" w:fill="auto"/>
          </w:tcPr>
          <w:p w14:paraId="338C5984" w14:textId="77777777" w:rsidR="00F314FD" w:rsidRPr="00F804B0" w:rsidRDefault="00F314FD" w:rsidP="006F0DFF">
            <w:pPr>
              <w:rPr>
                <w:b/>
              </w:rPr>
            </w:pPr>
            <w:r w:rsidRPr="00F804B0">
              <w:rPr>
                <w:b/>
              </w:rPr>
              <w:t xml:space="preserve">Numero </w:t>
            </w:r>
            <w:r w:rsidR="00E74F4A" w:rsidRPr="00F804B0">
              <w:rPr>
                <w:b/>
              </w:rPr>
              <w:t>ore</w:t>
            </w:r>
          </w:p>
        </w:tc>
        <w:tc>
          <w:tcPr>
            <w:tcW w:w="7938" w:type="dxa"/>
            <w:shd w:val="clear" w:color="auto" w:fill="auto"/>
          </w:tcPr>
          <w:p w14:paraId="2A52F140" w14:textId="77777777" w:rsidR="00F314FD" w:rsidRDefault="00F314FD" w:rsidP="006F0DFF">
            <w:r>
              <w:t xml:space="preserve">Lezioni frontali o attività </w:t>
            </w:r>
            <w:proofErr w:type="gramStart"/>
            <w:r>
              <w:t>equivalenti:</w:t>
            </w:r>
            <w:r w:rsidR="003B1F6E">
              <w:t xml:space="preserve">   </w:t>
            </w:r>
            <w:proofErr w:type="gramEnd"/>
            <w:r w:rsidR="003B1F6E">
              <w:t>32</w:t>
            </w:r>
          </w:p>
          <w:p w14:paraId="4AFDE4FD" w14:textId="77777777" w:rsidR="00F314FD" w:rsidRPr="00A7049C" w:rsidRDefault="00F314FD" w:rsidP="005B5A01">
            <w:r>
              <w:t xml:space="preserve">Eventuali esercitazioni </w:t>
            </w:r>
            <w:r w:rsidRPr="005B5A01">
              <w:t xml:space="preserve">o attività assistite </w:t>
            </w:r>
            <w:proofErr w:type="gramStart"/>
            <w:r w:rsidRPr="005B5A01">
              <w:t>equivalenti</w:t>
            </w:r>
            <w:r>
              <w:t>:</w:t>
            </w:r>
            <w:r w:rsidR="00175DD8">
              <w:t xml:space="preserve">   </w:t>
            </w:r>
            <w:proofErr w:type="gramEnd"/>
            <w:r w:rsidR="00262178">
              <w:t>4</w:t>
            </w:r>
          </w:p>
        </w:tc>
      </w:tr>
      <w:tr w:rsidR="00262178" w:rsidRPr="00A7049C" w14:paraId="54D22BF0" w14:textId="77777777" w:rsidTr="000C47E2">
        <w:tc>
          <w:tcPr>
            <w:tcW w:w="2411" w:type="dxa"/>
            <w:shd w:val="clear" w:color="auto" w:fill="auto"/>
          </w:tcPr>
          <w:p w14:paraId="73DC768F" w14:textId="77777777" w:rsidR="00262178" w:rsidRPr="00F804B0" w:rsidRDefault="00262178" w:rsidP="00513082">
            <w:pPr>
              <w:rPr>
                <w:b/>
              </w:rPr>
            </w:pPr>
            <w:r>
              <w:rPr>
                <w:b/>
              </w:rPr>
              <w:t>Prerequisiti richiesti</w:t>
            </w:r>
          </w:p>
        </w:tc>
        <w:tc>
          <w:tcPr>
            <w:tcW w:w="7938" w:type="dxa"/>
            <w:shd w:val="clear" w:color="auto" w:fill="auto"/>
          </w:tcPr>
          <w:p w14:paraId="6BBD361F" w14:textId="77777777" w:rsidR="00262178" w:rsidRDefault="00262178" w:rsidP="00262178">
            <w:r>
              <w:t>Conoscenze linguistico-semiotiche di base.</w:t>
            </w:r>
          </w:p>
        </w:tc>
      </w:tr>
      <w:tr w:rsidR="00F606E5" w:rsidRPr="009C2457" w14:paraId="54BE8F25" w14:textId="77777777" w:rsidTr="000C47E2">
        <w:tc>
          <w:tcPr>
            <w:tcW w:w="2411" w:type="dxa"/>
            <w:shd w:val="clear" w:color="auto" w:fill="auto"/>
          </w:tcPr>
          <w:p w14:paraId="1DEC6697" w14:textId="77777777" w:rsidR="00F606E5" w:rsidRPr="00AE7A0C" w:rsidRDefault="00F606E5" w:rsidP="00C005D2">
            <w:pPr>
              <w:rPr>
                <w:b/>
              </w:rPr>
            </w:pPr>
            <w:r w:rsidRPr="00F804B0">
              <w:rPr>
                <w:b/>
              </w:rPr>
              <w:t xml:space="preserve">Obiettivi </w:t>
            </w:r>
            <w:r>
              <w:rPr>
                <w:b/>
              </w:rPr>
              <w:t>formativi</w:t>
            </w:r>
          </w:p>
        </w:tc>
        <w:tc>
          <w:tcPr>
            <w:tcW w:w="7938" w:type="dxa"/>
            <w:shd w:val="clear" w:color="auto" w:fill="auto"/>
          </w:tcPr>
          <w:p w14:paraId="11285E83" w14:textId="77777777" w:rsidR="00F606E5" w:rsidRPr="00162234" w:rsidRDefault="00F74000" w:rsidP="00F74000">
            <w:pPr>
              <w:jc w:val="both"/>
            </w:pPr>
            <w:r w:rsidRPr="00162234">
              <w:t>Cogliere</w:t>
            </w:r>
            <w:r w:rsidR="00061258" w:rsidRPr="00162234">
              <w:t xml:space="preserve"> gli aspetti teorici </w:t>
            </w:r>
            <w:r w:rsidRPr="00162234">
              <w:t>d</w:t>
            </w:r>
            <w:r w:rsidR="00061258" w:rsidRPr="00162234">
              <w:t>el diversi</w:t>
            </w:r>
            <w:r w:rsidR="00061258" w:rsidRPr="00162234">
              <w:softHyphen/>
              <w:t xml:space="preserve">ficarsi </w:t>
            </w:r>
            <w:r w:rsidRPr="00162234">
              <w:t>del</w:t>
            </w:r>
            <w:r w:rsidR="00061258" w:rsidRPr="00162234">
              <w:t xml:space="preserve"> linguaggio </w:t>
            </w:r>
            <w:r w:rsidRPr="00162234">
              <w:t xml:space="preserve">umano </w:t>
            </w:r>
            <w:r w:rsidR="00061258" w:rsidRPr="00162234">
              <w:t>in vari sistemi lin</w:t>
            </w:r>
            <w:r w:rsidR="00061258" w:rsidRPr="00162234">
              <w:softHyphen/>
              <w:t>guistici.</w:t>
            </w:r>
            <w:r w:rsidRPr="00162234">
              <w:t xml:space="preserve"> Conoscere la storia del pensiero linguistico.</w:t>
            </w:r>
          </w:p>
        </w:tc>
      </w:tr>
      <w:tr w:rsidR="00F606E5" w:rsidRPr="00F606E5" w14:paraId="7CF1E145" w14:textId="77777777" w:rsidTr="000C47E2">
        <w:tc>
          <w:tcPr>
            <w:tcW w:w="2411" w:type="dxa"/>
            <w:shd w:val="clear" w:color="auto" w:fill="auto"/>
          </w:tcPr>
          <w:p w14:paraId="2D866A31" w14:textId="77777777" w:rsidR="00F606E5" w:rsidRPr="00F606E5" w:rsidRDefault="00F606E5" w:rsidP="00C005D2">
            <w:pPr>
              <w:rPr>
                <w:b/>
                <w:color w:val="FF0000"/>
                <w:sz w:val="20"/>
                <w:szCs w:val="20"/>
              </w:rPr>
            </w:pPr>
            <w:r w:rsidRPr="00F606E5">
              <w:rPr>
                <w:b/>
                <w:color w:val="FF0000"/>
                <w:sz w:val="20"/>
                <w:szCs w:val="20"/>
              </w:rPr>
              <w:t>Learning Objectives</w:t>
            </w:r>
          </w:p>
        </w:tc>
        <w:tc>
          <w:tcPr>
            <w:tcW w:w="7938" w:type="dxa"/>
            <w:shd w:val="clear" w:color="auto" w:fill="auto"/>
          </w:tcPr>
          <w:p w14:paraId="18A494EC" w14:textId="77777777" w:rsidR="00F606E5" w:rsidRPr="00262178" w:rsidRDefault="00F74000" w:rsidP="00F74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>Grasping</w:t>
            </w:r>
            <w:r w:rsidR="00F95B9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the</w:t>
            </w:r>
            <w:r w:rsidR="00F95B95">
              <w:rPr>
                <w:sz w:val="20"/>
                <w:lang w:val="en-US"/>
              </w:rPr>
              <w:t xml:space="preserve"> theoretic</w:t>
            </w:r>
            <w:r w:rsidR="00F95B95" w:rsidRPr="00CB1161">
              <w:rPr>
                <w:sz w:val="20"/>
                <w:lang w:val="en-US"/>
              </w:rPr>
              <w:t>al aspects involved in the diversification of human language in various linguistic systems.</w:t>
            </w:r>
            <w:r w:rsidR="006A7B3F">
              <w:rPr>
                <w:sz w:val="20"/>
                <w:lang w:val="en-US"/>
              </w:rPr>
              <w:t xml:space="preserve"> Knowing the history of </w:t>
            </w:r>
            <w:r>
              <w:rPr>
                <w:sz w:val="20"/>
                <w:lang w:val="en-US"/>
              </w:rPr>
              <w:t>linguistic thought.</w:t>
            </w:r>
          </w:p>
        </w:tc>
      </w:tr>
      <w:tr w:rsidR="000B3537" w:rsidRPr="009C2457" w14:paraId="0BFBE62D" w14:textId="77777777" w:rsidTr="000C47E2">
        <w:tc>
          <w:tcPr>
            <w:tcW w:w="2411" w:type="dxa"/>
            <w:shd w:val="clear" w:color="auto" w:fill="auto"/>
          </w:tcPr>
          <w:p w14:paraId="665C1577" w14:textId="77777777" w:rsidR="000B3537" w:rsidRPr="00112568" w:rsidRDefault="000B3537" w:rsidP="00F606E5">
            <w:pPr>
              <w:rPr>
                <w:b/>
                <w:sz w:val="20"/>
                <w:szCs w:val="20"/>
              </w:rPr>
            </w:pPr>
            <w:r w:rsidRPr="00112568">
              <w:rPr>
                <w:b/>
                <w:sz w:val="20"/>
                <w:szCs w:val="20"/>
              </w:rPr>
              <w:t xml:space="preserve">Modalità di svolgimento </w:t>
            </w:r>
          </w:p>
        </w:tc>
        <w:tc>
          <w:tcPr>
            <w:tcW w:w="7938" w:type="dxa"/>
            <w:shd w:val="clear" w:color="auto" w:fill="auto"/>
          </w:tcPr>
          <w:p w14:paraId="75B06ABE" w14:textId="77777777" w:rsidR="000B3537" w:rsidRPr="009C2457" w:rsidRDefault="000B3537" w:rsidP="000B3537">
            <w:pPr>
              <w:jc w:val="both"/>
            </w:pPr>
            <w:r>
              <w:t>Lezioni frontali ed esercitazioni</w:t>
            </w:r>
          </w:p>
        </w:tc>
      </w:tr>
      <w:tr w:rsidR="00F606E5" w:rsidRPr="00262178" w14:paraId="74F53E89" w14:textId="77777777" w:rsidTr="000C47E2">
        <w:tc>
          <w:tcPr>
            <w:tcW w:w="2411" w:type="dxa"/>
            <w:shd w:val="clear" w:color="auto" w:fill="auto"/>
          </w:tcPr>
          <w:p w14:paraId="59B9F63B" w14:textId="77777777" w:rsidR="00F606E5" w:rsidRPr="00262178" w:rsidRDefault="00F606E5" w:rsidP="00AB7BB8">
            <w:pPr>
              <w:rPr>
                <w:b/>
                <w:color w:val="FF0000"/>
                <w:sz w:val="20"/>
                <w:szCs w:val="20"/>
              </w:rPr>
            </w:pPr>
            <w:r w:rsidRPr="00262178">
              <w:rPr>
                <w:b/>
                <w:color w:val="FF0000"/>
                <w:sz w:val="20"/>
                <w:szCs w:val="20"/>
              </w:rPr>
              <w:t>Course Structure</w:t>
            </w:r>
          </w:p>
        </w:tc>
        <w:tc>
          <w:tcPr>
            <w:tcW w:w="7938" w:type="dxa"/>
            <w:shd w:val="clear" w:color="auto" w:fill="auto"/>
          </w:tcPr>
          <w:p w14:paraId="4E2823E1" w14:textId="77777777" w:rsidR="00F606E5" w:rsidRPr="00262178" w:rsidRDefault="006A7B3F" w:rsidP="00B01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Lectures and seminars</w:t>
            </w:r>
          </w:p>
        </w:tc>
      </w:tr>
      <w:tr w:rsidR="00112568" w:rsidRPr="00671268" w14:paraId="47B54B65" w14:textId="77777777" w:rsidTr="000C47E2">
        <w:trPr>
          <w:trHeight w:val="70"/>
        </w:trPr>
        <w:tc>
          <w:tcPr>
            <w:tcW w:w="2411" w:type="dxa"/>
            <w:shd w:val="clear" w:color="auto" w:fill="auto"/>
          </w:tcPr>
          <w:p w14:paraId="7F6CF8C3" w14:textId="77777777" w:rsidR="00112568" w:rsidRPr="00F804B0" w:rsidRDefault="00112568" w:rsidP="00C005D2">
            <w:pPr>
              <w:rPr>
                <w:b/>
              </w:rPr>
            </w:pPr>
            <w:r>
              <w:rPr>
                <w:b/>
              </w:rPr>
              <w:t>Contenuti</w:t>
            </w:r>
            <w:r w:rsidRPr="00F804B0">
              <w:rPr>
                <w:b/>
              </w:rPr>
              <w:t xml:space="preserve"> del corso </w:t>
            </w:r>
          </w:p>
        </w:tc>
        <w:tc>
          <w:tcPr>
            <w:tcW w:w="7938" w:type="dxa"/>
            <w:shd w:val="clear" w:color="auto" w:fill="auto"/>
          </w:tcPr>
          <w:p w14:paraId="12905FBB" w14:textId="77777777" w:rsidR="00112568" w:rsidRPr="00162234" w:rsidRDefault="00A9545F" w:rsidP="00A9545F">
            <w:pPr>
              <w:autoSpaceDE w:val="0"/>
              <w:autoSpaceDN w:val="0"/>
              <w:adjustRightInd w:val="0"/>
            </w:pPr>
            <w:r w:rsidRPr="00162234">
              <w:t xml:space="preserve">Il ruolo della natura e della storia nel tema ‘un linguaggio, molte lingue’ secondo </w:t>
            </w:r>
            <w:r w:rsidR="00F74000" w:rsidRPr="00162234">
              <w:t xml:space="preserve">le </w:t>
            </w:r>
            <w:r w:rsidR="00B7794F" w:rsidRPr="00162234">
              <w:t>t</w:t>
            </w:r>
            <w:r w:rsidRPr="00162234">
              <w:t xml:space="preserve">eorie linguistiche e </w:t>
            </w:r>
            <w:r w:rsidR="00F74000" w:rsidRPr="00162234">
              <w:t xml:space="preserve">le filosofie del linguaggio </w:t>
            </w:r>
            <w:r w:rsidRPr="00162234">
              <w:t>dall’antichità ad oggi</w:t>
            </w:r>
            <w:r w:rsidR="00F95B95" w:rsidRPr="00162234">
              <w:t>.</w:t>
            </w:r>
          </w:p>
        </w:tc>
      </w:tr>
      <w:tr w:rsidR="002E48DC" w:rsidRPr="00862679" w14:paraId="1E131A35" w14:textId="77777777" w:rsidTr="000C47E2">
        <w:trPr>
          <w:trHeight w:val="70"/>
        </w:trPr>
        <w:tc>
          <w:tcPr>
            <w:tcW w:w="2411" w:type="dxa"/>
            <w:shd w:val="clear" w:color="auto" w:fill="auto"/>
          </w:tcPr>
          <w:p w14:paraId="111A3FF4" w14:textId="77777777" w:rsidR="002E48DC" w:rsidRPr="00112568" w:rsidRDefault="002E48DC" w:rsidP="00C005D2">
            <w:pPr>
              <w:rPr>
                <w:b/>
                <w:color w:val="FF0000"/>
                <w:sz w:val="20"/>
                <w:szCs w:val="20"/>
              </w:rPr>
            </w:pPr>
            <w:r w:rsidRPr="00112568">
              <w:rPr>
                <w:b/>
                <w:color w:val="FF0000"/>
                <w:sz w:val="20"/>
                <w:szCs w:val="20"/>
              </w:rPr>
              <w:t>Course Content</w:t>
            </w:r>
          </w:p>
        </w:tc>
        <w:tc>
          <w:tcPr>
            <w:tcW w:w="7938" w:type="dxa"/>
            <w:shd w:val="clear" w:color="auto" w:fill="auto"/>
          </w:tcPr>
          <w:p w14:paraId="37143A73" w14:textId="77777777" w:rsidR="002E48DC" w:rsidRPr="00F95B95" w:rsidRDefault="00F95B95" w:rsidP="00A9545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B1161">
              <w:rPr>
                <w:sz w:val="20"/>
                <w:lang w:val="en-US"/>
              </w:rPr>
              <w:t xml:space="preserve">The </w:t>
            </w:r>
            <w:r w:rsidR="00A9545F">
              <w:rPr>
                <w:sz w:val="20"/>
                <w:lang w:val="en-US"/>
              </w:rPr>
              <w:t xml:space="preserve">role of Nature and History in the </w:t>
            </w:r>
            <w:r w:rsidRPr="00CB1161">
              <w:rPr>
                <w:sz w:val="20"/>
                <w:lang w:val="en-US"/>
              </w:rPr>
              <w:t xml:space="preserve">issue ‘one language, many languages’ </w:t>
            </w:r>
            <w:r w:rsidR="00A9545F">
              <w:rPr>
                <w:sz w:val="20"/>
                <w:lang w:val="en-US"/>
              </w:rPr>
              <w:t>according to some linguistic theories and language philosphies from the antiquity to nowaday</w:t>
            </w:r>
            <w:r w:rsidR="006A7B3F">
              <w:rPr>
                <w:sz w:val="20"/>
                <w:lang w:val="en-US"/>
              </w:rPr>
              <w:t>s</w:t>
            </w:r>
            <w:r w:rsidRPr="00CB1161">
              <w:rPr>
                <w:sz w:val="20"/>
                <w:lang w:val="en-US"/>
              </w:rPr>
              <w:t xml:space="preserve">. </w:t>
            </w:r>
          </w:p>
        </w:tc>
      </w:tr>
      <w:tr w:rsidR="00262178" w:rsidRPr="00A7049C" w14:paraId="5BC64621" w14:textId="77777777" w:rsidTr="000C47E2">
        <w:trPr>
          <w:trHeight w:val="70"/>
        </w:trPr>
        <w:tc>
          <w:tcPr>
            <w:tcW w:w="2411" w:type="dxa"/>
            <w:shd w:val="clear" w:color="auto" w:fill="auto"/>
          </w:tcPr>
          <w:p w14:paraId="5DE12138" w14:textId="77777777" w:rsidR="00262178" w:rsidRPr="00F804B0" w:rsidRDefault="00262178" w:rsidP="00C005D2">
            <w:pPr>
              <w:rPr>
                <w:b/>
              </w:rPr>
            </w:pPr>
            <w:r w:rsidRPr="00F804B0">
              <w:rPr>
                <w:b/>
              </w:rPr>
              <w:t xml:space="preserve">Testi </w:t>
            </w:r>
            <w:r>
              <w:rPr>
                <w:b/>
              </w:rPr>
              <w:t>di riferimento</w:t>
            </w:r>
          </w:p>
        </w:tc>
        <w:tc>
          <w:tcPr>
            <w:tcW w:w="7938" w:type="dxa"/>
            <w:shd w:val="clear" w:color="auto" w:fill="auto"/>
          </w:tcPr>
          <w:p w14:paraId="20C44381" w14:textId="77777777" w:rsidR="00387766" w:rsidRDefault="00B92DE3" w:rsidP="00387766">
            <w:pPr>
              <w:autoSpaceDE w:val="0"/>
              <w:autoSpaceDN w:val="0"/>
              <w:adjustRightInd w:val="0"/>
              <w:ind w:left="60" w:hanging="142"/>
              <w:jc w:val="both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L. Formigari, </w:t>
            </w:r>
            <w:r>
              <w:rPr>
                <w:bCs/>
                <w:i/>
                <w:lang w:val="fr-FR"/>
              </w:rPr>
              <w:t>Il linguaggio. Storia delle teorie</w:t>
            </w:r>
            <w:r>
              <w:rPr>
                <w:bCs/>
                <w:lang w:val="fr-FR"/>
              </w:rPr>
              <w:t>, Laterza, 2005</w:t>
            </w:r>
            <w:r w:rsidRPr="006657EB">
              <w:rPr>
                <w:vertAlign w:val="superscript"/>
                <w:lang w:val="fr-FR"/>
              </w:rPr>
              <w:t>2</w:t>
            </w:r>
            <w:r>
              <w:rPr>
                <w:bCs/>
                <w:lang w:val="fr-FR"/>
              </w:rPr>
              <w:t xml:space="preserve"> (tranne IV cap.), 170 pp. (</w:t>
            </w:r>
            <w:r w:rsidRPr="00CD6CF7">
              <w:rPr>
                <w:bCs/>
                <w:lang w:val="fr-FR"/>
              </w:rPr>
              <w:t>disponibile solo come e-book</w:t>
            </w:r>
            <w:r>
              <w:rPr>
                <w:bCs/>
                <w:lang w:val="fr-FR"/>
              </w:rPr>
              <w:t>)</w:t>
            </w:r>
          </w:p>
          <w:p w14:paraId="245E5D65" w14:textId="77777777" w:rsidR="00262178" w:rsidRDefault="00B92DE3" w:rsidP="00262178">
            <w:pPr>
              <w:autoSpaceDE w:val="0"/>
              <w:autoSpaceDN w:val="0"/>
              <w:adjustRightInd w:val="0"/>
              <w:ind w:left="60" w:hanging="142"/>
              <w:jc w:val="both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Auroux</w:t>
            </w:r>
            <w:r w:rsidR="00262178">
              <w:rPr>
                <w:bCs/>
                <w:lang w:val="fr-FR"/>
              </w:rPr>
              <w:t xml:space="preserve">, </w:t>
            </w:r>
            <w:r>
              <w:rPr>
                <w:bCs/>
                <w:i/>
                <w:lang w:val="fr-FR"/>
              </w:rPr>
              <w:t>Scrittura e grammatizzazione. Introduzione alla storia delle scienze del linguaggio</w:t>
            </w:r>
            <w:r w:rsidR="00262178">
              <w:rPr>
                <w:bCs/>
                <w:lang w:val="fr-FR"/>
              </w:rPr>
              <w:t xml:space="preserve">, </w:t>
            </w:r>
            <w:r>
              <w:rPr>
                <w:bCs/>
                <w:lang w:val="fr-FR"/>
              </w:rPr>
              <w:t>Novecento</w:t>
            </w:r>
            <w:r w:rsidR="00262178">
              <w:rPr>
                <w:bCs/>
                <w:lang w:val="fr-FR"/>
              </w:rPr>
              <w:t xml:space="preserve">, </w:t>
            </w:r>
            <w:r>
              <w:rPr>
                <w:bCs/>
                <w:lang w:val="fr-FR"/>
              </w:rPr>
              <w:t>1998</w:t>
            </w:r>
            <w:r w:rsidR="00262178">
              <w:rPr>
                <w:bCs/>
                <w:lang w:val="fr-FR"/>
              </w:rPr>
              <w:t xml:space="preserve">, </w:t>
            </w:r>
            <w:r>
              <w:rPr>
                <w:bCs/>
                <w:lang w:val="fr-FR"/>
              </w:rPr>
              <w:t>160</w:t>
            </w:r>
            <w:r w:rsidR="00262178">
              <w:rPr>
                <w:bCs/>
                <w:lang w:val="fr-FR"/>
              </w:rPr>
              <w:t xml:space="preserve"> pp.</w:t>
            </w:r>
          </w:p>
          <w:p w14:paraId="5331A1A4" w14:textId="77777777" w:rsidR="00262178" w:rsidRDefault="00262178" w:rsidP="00262178">
            <w:pPr>
              <w:autoSpaceDE w:val="0"/>
              <w:autoSpaceDN w:val="0"/>
              <w:adjustRightInd w:val="0"/>
              <w:ind w:left="60" w:hanging="142"/>
              <w:jc w:val="both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T. De Mauro, </w:t>
            </w:r>
            <w:r w:rsidRPr="00127320">
              <w:rPr>
                <w:bCs/>
                <w:i/>
                <w:lang w:val="fr-FR"/>
              </w:rPr>
              <w:t>Il linguaggio tra natura e storia</w:t>
            </w:r>
            <w:r>
              <w:rPr>
                <w:bCs/>
                <w:lang w:val="fr-FR"/>
              </w:rPr>
              <w:t xml:space="preserve">, </w:t>
            </w:r>
            <w:r w:rsidRPr="006A6919">
              <w:rPr>
                <w:bCs/>
                <w:sz w:val="20"/>
                <w:lang w:val="fr-FR"/>
              </w:rPr>
              <w:t>Mondadori Università, 2008, 120 pp</w:t>
            </w:r>
            <w:r>
              <w:rPr>
                <w:bCs/>
                <w:lang w:val="fr-FR"/>
              </w:rPr>
              <w:t>.</w:t>
            </w:r>
          </w:p>
          <w:p w14:paraId="3212E207" w14:textId="77777777" w:rsidR="00B05063" w:rsidRDefault="00B05063" w:rsidP="00B05063">
            <w:pPr>
              <w:autoSpaceDE w:val="0"/>
              <w:autoSpaceDN w:val="0"/>
              <w:adjustRightInd w:val="0"/>
              <w:ind w:left="60" w:hanging="142"/>
              <w:jc w:val="both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S. Vecchio, </w:t>
            </w:r>
            <w:r w:rsidRPr="00A6601B">
              <w:rPr>
                <w:bCs/>
                <w:i/>
                <w:lang w:val="fr-FR"/>
              </w:rPr>
              <w:t xml:space="preserve">Un prisma agostiniano </w:t>
            </w:r>
            <w:r w:rsidRPr="006A6919">
              <w:rPr>
                <w:bCs/>
                <w:i/>
                <w:sz w:val="22"/>
                <w:lang w:val="fr-FR"/>
              </w:rPr>
              <w:t>di filosofia del linguaggio</w:t>
            </w:r>
            <w:r>
              <w:rPr>
                <w:bCs/>
                <w:lang w:val="fr-FR"/>
              </w:rPr>
              <w:t xml:space="preserve">, </w:t>
            </w:r>
            <w:r w:rsidRPr="006A6919">
              <w:rPr>
                <w:bCs/>
                <w:sz w:val="20"/>
                <w:lang w:val="fr-FR"/>
              </w:rPr>
              <w:t>Bonanno, 2017, 90</w:t>
            </w:r>
            <w:r w:rsidR="00B92DE3" w:rsidRPr="006A6919">
              <w:rPr>
                <w:bCs/>
                <w:sz w:val="20"/>
                <w:lang w:val="fr-FR"/>
              </w:rPr>
              <w:t xml:space="preserve"> pp</w:t>
            </w:r>
            <w:r w:rsidR="00B92DE3">
              <w:rPr>
                <w:bCs/>
                <w:lang w:val="fr-FR"/>
              </w:rPr>
              <w:t>.</w:t>
            </w:r>
          </w:p>
          <w:p w14:paraId="1975EB08" w14:textId="77777777" w:rsidR="00262178" w:rsidRPr="00507E24" w:rsidRDefault="00262178" w:rsidP="00262178">
            <w:pPr>
              <w:ind w:left="-82"/>
              <w:jc w:val="both"/>
              <w:rPr>
                <w:bCs/>
                <w:lang w:val="fr-FR"/>
              </w:rPr>
            </w:pPr>
            <w:r>
              <w:rPr>
                <w:sz w:val="18"/>
                <w:szCs w:val="18"/>
              </w:rPr>
              <w:t>A</w:t>
            </w:r>
            <w:r w:rsidRPr="003123F8">
              <w:rPr>
                <w:sz w:val="18"/>
                <w:szCs w:val="18"/>
              </w:rPr>
              <w:t>i sensi dell’art. 171 della legge 22 aprile 1941, n. 633 e successive disposizioni, fotocopiare libri in commercio, in misura superiore al 15%, è reato penale.</w:t>
            </w:r>
            <w:r>
              <w:rPr>
                <w:sz w:val="18"/>
                <w:szCs w:val="18"/>
              </w:rPr>
              <w:t xml:space="preserve"> </w:t>
            </w:r>
            <w:r w:rsidRPr="003123F8">
              <w:rPr>
                <w:sz w:val="18"/>
                <w:szCs w:val="18"/>
              </w:rPr>
              <w:t>Per informazioni sui vincoli e sulle sanzioni all’uso illecito di fotocopie, consultare le Linee guida sulla gestione dei diritti d’autore nelle università.</w:t>
            </w:r>
            <w:r>
              <w:rPr>
                <w:sz w:val="18"/>
                <w:szCs w:val="18"/>
              </w:rPr>
              <w:t xml:space="preserve"> </w:t>
            </w:r>
            <w:r w:rsidRPr="003123F8">
              <w:rPr>
                <w:sz w:val="18"/>
                <w:szCs w:val="18"/>
              </w:rPr>
              <w:t>I testi di riferimento possono essere consultati in Biblioteca.</w:t>
            </w:r>
          </w:p>
        </w:tc>
      </w:tr>
      <w:tr w:rsidR="006657EB" w:rsidRPr="00262178" w14:paraId="50804791" w14:textId="77777777" w:rsidTr="000C47E2">
        <w:trPr>
          <w:trHeight w:val="70"/>
        </w:trPr>
        <w:tc>
          <w:tcPr>
            <w:tcW w:w="2411" w:type="dxa"/>
            <w:shd w:val="clear" w:color="auto" w:fill="auto"/>
          </w:tcPr>
          <w:p w14:paraId="607D50FA" w14:textId="77777777" w:rsidR="006657EB" w:rsidRPr="00262178" w:rsidRDefault="006657EB" w:rsidP="006F0DFF">
            <w:pPr>
              <w:rPr>
                <w:b/>
                <w:color w:val="FF0000"/>
                <w:sz w:val="20"/>
                <w:szCs w:val="20"/>
              </w:rPr>
            </w:pPr>
            <w:r w:rsidRPr="00262178">
              <w:rPr>
                <w:b/>
                <w:color w:val="FF0000"/>
                <w:sz w:val="20"/>
                <w:szCs w:val="20"/>
              </w:rPr>
              <w:t>Textbook Information</w:t>
            </w:r>
          </w:p>
        </w:tc>
        <w:tc>
          <w:tcPr>
            <w:tcW w:w="7938" w:type="dxa"/>
            <w:shd w:val="clear" w:color="auto" w:fill="auto"/>
          </w:tcPr>
          <w:p w14:paraId="429883BA" w14:textId="77777777" w:rsidR="00387766" w:rsidRPr="006657EB" w:rsidRDefault="00B92DE3" w:rsidP="00387766">
            <w:pPr>
              <w:autoSpaceDE w:val="0"/>
              <w:autoSpaceDN w:val="0"/>
              <w:adjustRightInd w:val="0"/>
              <w:ind w:left="60" w:hanging="142"/>
              <w:jc w:val="both"/>
              <w:rPr>
                <w:bCs/>
                <w:sz w:val="20"/>
                <w:szCs w:val="20"/>
                <w:lang w:val="fr-FR"/>
              </w:rPr>
            </w:pPr>
            <w:r w:rsidRPr="006657EB">
              <w:rPr>
                <w:bCs/>
                <w:sz w:val="20"/>
                <w:szCs w:val="20"/>
                <w:lang w:val="fr-FR"/>
              </w:rPr>
              <w:t xml:space="preserve">L. Formigari, </w:t>
            </w:r>
            <w:r w:rsidRPr="006657EB">
              <w:rPr>
                <w:bCs/>
                <w:i/>
                <w:sz w:val="20"/>
                <w:szCs w:val="20"/>
                <w:lang w:val="fr-FR"/>
              </w:rPr>
              <w:t>Il linguaggio. Storia delle teorie</w:t>
            </w:r>
            <w:r w:rsidRPr="006657EB">
              <w:rPr>
                <w:bCs/>
                <w:sz w:val="20"/>
                <w:szCs w:val="20"/>
                <w:lang w:val="fr-FR"/>
              </w:rPr>
              <w:t>, Laterza, 2005</w:t>
            </w:r>
            <w:r w:rsidRPr="006657EB">
              <w:rPr>
                <w:sz w:val="20"/>
                <w:szCs w:val="20"/>
                <w:vertAlign w:val="superscript"/>
                <w:lang w:val="fr-FR"/>
              </w:rPr>
              <w:t>2</w:t>
            </w:r>
            <w:r w:rsidRPr="006657EB">
              <w:rPr>
                <w:bCs/>
                <w:sz w:val="20"/>
                <w:szCs w:val="20"/>
                <w:lang w:val="fr-FR"/>
              </w:rPr>
              <w:t xml:space="preserve"> (</w:t>
            </w:r>
            <w:r>
              <w:rPr>
                <w:bCs/>
                <w:sz w:val="20"/>
                <w:szCs w:val="20"/>
                <w:lang w:val="fr-FR"/>
              </w:rPr>
              <w:t>except IV</w:t>
            </w:r>
            <w:r w:rsidRPr="006657EB">
              <w:rPr>
                <w:bCs/>
                <w:sz w:val="20"/>
                <w:szCs w:val="20"/>
                <w:lang w:val="fr-FR"/>
              </w:rPr>
              <w:t xml:space="preserve"> c</w:t>
            </w:r>
            <w:r>
              <w:rPr>
                <w:bCs/>
                <w:sz w:val="20"/>
                <w:szCs w:val="20"/>
                <w:lang w:val="fr-FR"/>
              </w:rPr>
              <w:t>h</w:t>
            </w:r>
            <w:r w:rsidRPr="006657EB">
              <w:rPr>
                <w:bCs/>
                <w:sz w:val="20"/>
                <w:szCs w:val="20"/>
                <w:lang w:val="fr-FR"/>
              </w:rPr>
              <w:t>ap.), 170 pp. (</w:t>
            </w:r>
            <w:r>
              <w:rPr>
                <w:bCs/>
                <w:sz w:val="20"/>
                <w:szCs w:val="20"/>
                <w:lang w:val="fr-FR"/>
              </w:rPr>
              <w:t>only as</w:t>
            </w:r>
            <w:r w:rsidRPr="006657EB">
              <w:rPr>
                <w:bCs/>
                <w:sz w:val="20"/>
                <w:szCs w:val="20"/>
                <w:lang w:val="fr-FR"/>
              </w:rPr>
              <w:t xml:space="preserve"> e-book)</w:t>
            </w:r>
          </w:p>
          <w:p w14:paraId="7002488A" w14:textId="77777777" w:rsidR="006657EB" w:rsidRPr="006657EB" w:rsidRDefault="00B92DE3" w:rsidP="006657EB">
            <w:pPr>
              <w:autoSpaceDE w:val="0"/>
              <w:autoSpaceDN w:val="0"/>
              <w:adjustRightInd w:val="0"/>
              <w:ind w:left="60" w:hanging="142"/>
              <w:jc w:val="both"/>
              <w:rPr>
                <w:bCs/>
                <w:sz w:val="20"/>
                <w:szCs w:val="20"/>
                <w:lang w:val="fr-FR"/>
              </w:rPr>
            </w:pPr>
            <w:r w:rsidRPr="00B92DE3">
              <w:rPr>
                <w:bCs/>
                <w:sz w:val="20"/>
                <w:szCs w:val="20"/>
                <w:lang w:val="fr-FR"/>
              </w:rPr>
              <w:t xml:space="preserve">S. Auroux, </w:t>
            </w:r>
            <w:r w:rsidRPr="00B92DE3">
              <w:rPr>
                <w:bCs/>
                <w:i/>
                <w:sz w:val="20"/>
                <w:szCs w:val="20"/>
                <w:lang w:val="fr-FR"/>
              </w:rPr>
              <w:t>Scrittura e grammatizzazione. Introduzione alla storia delle scienze del linguaggio</w:t>
            </w:r>
            <w:r w:rsidRPr="00B92DE3">
              <w:rPr>
                <w:bCs/>
                <w:sz w:val="20"/>
                <w:szCs w:val="20"/>
                <w:lang w:val="fr-FR"/>
              </w:rPr>
              <w:t>, Novecento, 1998, 160 pp</w:t>
            </w:r>
            <w:r w:rsidR="006657EB" w:rsidRPr="006657EB">
              <w:rPr>
                <w:bCs/>
                <w:sz w:val="20"/>
                <w:szCs w:val="20"/>
                <w:lang w:val="fr-FR"/>
              </w:rPr>
              <w:t>.</w:t>
            </w:r>
          </w:p>
          <w:p w14:paraId="22A5CB66" w14:textId="77777777" w:rsidR="00B05063" w:rsidRPr="006657EB" w:rsidRDefault="00B05063" w:rsidP="00B05063">
            <w:pPr>
              <w:autoSpaceDE w:val="0"/>
              <w:autoSpaceDN w:val="0"/>
              <w:adjustRightInd w:val="0"/>
              <w:ind w:left="60" w:hanging="142"/>
              <w:jc w:val="both"/>
              <w:rPr>
                <w:bCs/>
                <w:sz w:val="20"/>
                <w:szCs w:val="20"/>
                <w:lang w:val="fr-FR"/>
              </w:rPr>
            </w:pPr>
            <w:r w:rsidRPr="006657EB">
              <w:rPr>
                <w:bCs/>
                <w:sz w:val="20"/>
                <w:szCs w:val="20"/>
                <w:lang w:val="fr-FR"/>
              </w:rPr>
              <w:t xml:space="preserve">T. De Mauro, </w:t>
            </w:r>
            <w:r w:rsidRPr="006657EB">
              <w:rPr>
                <w:bCs/>
                <w:i/>
                <w:sz w:val="20"/>
                <w:szCs w:val="20"/>
                <w:lang w:val="fr-FR"/>
              </w:rPr>
              <w:t>Il linguaggio tra natura e storia</w:t>
            </w:r>
            <w:r w:rsidRPr="006657EB">
              <w:rPr>
                <w:bCs/>
                <w:sz w:val="20"/>
                <w:szCs w:val="20"/>
                <w:lang w:val="fr-FR"/>
              </w:rPr>
              <w:t>, Mondadori Università - Sapienza, 2008, 120 pp.</w:t>
            </w:r>
          </w:p>
          <w:p w14:paraId="4D78C5DF" w14:textId="77777777" w:rsidR="006657EB" w:rsidRPr="006657EB" w:rsidRDefault="006657EB" w:rsidP="006657EB">
            <w:pPr>
              <w:autoSpaceDE w:val="0"/>
              <w:autoSpaceDN w:val="0"/>
              <w:adjustRightInd w:val="0"/>
              <w:ind w:left="60" w:hanging="142"/>
              <w:jc w:val="both"/>
              <w:rPr>
                <w:bCs/>
                <w:sz w:val="20"/>
                <w:szCs w:val="20"/>
                <w:lang w:val="fr-FR"/>
              </w:rPr>
            </w:pPr>
            <w:r w:rsidRPr="006657EB">
              <w:rPr>
                <w:bCs/>
                <w:sz w:val="20"/>
                <w:szCs w:val="20"/>
                <w:lang w:val="fr-FR"/>
              </w:rPr>
              <w:t xml:space="preserve">S. Vecchio, </w:t>
            </w:r>
            <w:r w:rsidRPr="006657EB">
              <w:rPr>
                <w:bCs/>
                <w:i/>
                <w:sz w:val="20"/>
                <w:szCs w:val="20"/>
                <w:lang w:val="fr-FR"/>
              </w:rPr>
              <w:t>Un prisma agostiniano di filosofia del linguaggio</w:t>
            </w:r>
            <w:r w:rsidRPr="006657EB">
              <w:rPr>
                <w:bCs/>
                <w:sz w:val="20"/>
                <w:szCs w:val="20"/>
                <w:lang w:val="fr-FR"/>
              </w:rPr>
              <w:t xml:space="preserve">, Bonanno, 2017, </w:t>
            </w:r>
            <w:r w:rsidR="00B92DE3">
              <w:rPr>
                <w:bCs/>
                <w:sz w:val="20"/>
                <w:szCs w:val="20"/>
                <w:lang w:val="fr-FR"/>
              </w:rPr>
              <w:t xml:space="preserve">90 </w:t>
            </w:r>
            <w:r w:rsidRPr="006657EB">
              <w:rPr>
                <w:bCs/>
                <w:sz w:val="20"/>
                <w:szCs w:val="20"/>
                <w:lang w:val="fr-FR"/>
              </w:rPr>
              <w:t xml:space="preserve">pp. </w:t>
            </w:r>
          </w:p>
          <w:p w14:paraId="2D4BD03C" w14:textId="77777777" w:rsidR="006657EB" w:rsidRPr="006657EB" w:rsidRDefault="006657EB" w:rsidP="006657EB">
            <w:pPr>
              <w:ind w:left="-82"/>
              <w:jc w:val="both"/>
              <w:rPr>
                <w:bCs/>
                <w:sz w:val="20"/>
                <w:szCs w:val="20"/>
                <w:lang w:val="fr-FR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Pr="003123F8">
              <w:rPr>
                <w:sz w:val="18"/>
                <w:szCs w:val="18"/>
                <w:lang w:val="en-US"/>
              </w:rPr>
              <w:t>n compliance with art 171 L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3123F8">
              <w:rPr>
                <w:sz w:val="18"/>
                <w:szCs w:val="18"/>
                <w:lang w:val="en-US"/>
              </w:rPr>
              <w:t>22.04.1941, n. 633 and its amendments, it is illegal to copy entire books or journals, only 15% of their content can be copied.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3123F8">
              <w:rPr>
                <w:sz w:val="18"/>
                <w:szCs w:val="18"/>
                <w:lang w:val="en-US"/>
              </w:rPr>
              <w:t>For further information on sanctions and regulations concerning photocopying please refer to the Linee Guida sull</w:t>
            </w:r>
            <w:r>
              <w:rPr>
                <w:sz w:val="18"/>
                <w:szCs w:val="18"/>
                <w:lang w:val="en-US"/>
              </w:rPr>
              <w:t>a Gestione dei Diritti d’Autore</w:t>
            </w:r>
            <w:r w:rsidRPr="003123F8">
              <w:rPr>
                <w:sz w:val="18"/>
                <w:szCs w:val="18"/>
                <w:lang w:val="en-US"/>
              </w:rPr>
              <w:t xml:space="preserve"> provided by the I</w:t>
            </w:r>
            <w:r>
              <w:rPr>
                <w:sz w:val="18"/>
                <w:szCs w:val="18"/>
                <w:lang w:val="en-US"/>
              </w:rPr>
              <w:t>talian Association on Copyright</w:t>
            </w:r>
            <w:r w:rsidRPr="003123F8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3123F8">
              <w:rPr>
                <w:sz w:val="18"/>
                <w:szCs w:val="18"/>
                <w:lang w:val="en-US"/>
              </w:rPr>
              <w:t>All the books listed in the programs can be consulted in the Library.</w:t>
            </w:r>
          </w:p>
        </w:tc>
      </w:tr>
      <w:tr w:rsidR="00862679" w:rsidRPr="00A7049C" w14:paraId="02C49F82" w14:textId="77777777" w:rsidTr="00D92A0C">
        <w:trPr>
          <w:trHeight w:val="277"/>
        </w:trPr>
        <w:tc>
          <w:tcPr>
            <w:tcW w:w="2411" w:type="dxa"/>
            <w:shd w:val="clear" w:color="auto" w:fill="auto"/>
          </w:tcPr>
          <w:p w14:paraId="6446613C" w14:textId="77777777" w:rsidR="00862679" w:rsidRPr="007F0308" w:rsidRDefault="00862679" w:rsidP="00D92A0C">
            <w:pPr>
              <w:ind w:right="-108"/>
              <w:rPr>
                <w:b/>
                <w:i/>
              </w:rPr>
            </w:pPr>
            <w:r>
              <w:rPr>
                <w:b/>
              </w:rPr>
              <w:t>Modalità di verifica dell’</w:t>
            </w:r>
            <w:r w:rsidRPr="00F00475">
              <w:rPr>
                <w:b/>
              </w:rPr>
              <w:t>apprendimento</w:t>
            </w:r>
          </w:p>
        </w:tc>
        <w:tc>
          <w:tcPr>
            <w:tcW w:w="7938" w:type="dxa"/>
            <w:shd w:val="clear" w:color="auto" w:fill="auto"/>
          </w:tcPr>
          <w:p w14:paraId="7B0D39A6" w14:textId="77777777" w:rsidR="00862679" w:rsidRPr="006A6919" w:rsidRDefault="00862679" w:rsidP="00D92A0C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  <w:lang w:val="fr-FR"/>
              </w:rPr>
            </w:pPr>
            <w:r>
              <w:rPr>
                <w:bCs/>
                <w:lang w:val="fr-FR"/>
              </w:rPr>
              <w:t xml:space="preserve">    </w:t>
            </w:r>
            <w:r>
              <w:rPr>
                <w:bCs/>
                <w:u w:val="single"/>
                <w:lang w:val="fr-FR"/>
              </w:rPr>
              <w:t>Prova</w:t>
            </w:r>
            <w:r w:rsidRPr="00156CB4">
              <w:rPr>
                <w:bCs/>
                <w:u w:val="single"/>
                <w:lang w:val="fr-FR"/>
              </w:rPr>
              <w:t xml:space="preserve"> </w:t>
            </w:r>
            <w:r>
              <w:rPr>
                <w:bCs/>
                <w:i/>
                <w:u w:val="single"/>
                <w:lang w:val="fr-FR"/>
              </w:rPr>
              <w:t xml:space="preserve">in itinere </w:t>
            </w:r>
            <w:r>
              <w:rPr>
                <w:bCs/>
                <w:u w:val="single"/>
                <w:lang w:val="fr-FR"/>
              </w:rPr>
              <w:t>scritta</w:t>
            </w:r>
            <w:r w:rsidR="006A6919">
              <w:rPr>
                <w:bCs/>
                <w:lang w:val="fr-FR"/>
              </w:rPr>
              <w:t xml:space="preserve">.             </w:t>
            </w:r>
            <w:r>
              <w:rPr>
                <w:bCs/>
                <w:lang w:val="fr-FR"/>
              </w:rPr>
              <w:t>In data da concordare in base all’andamento del corso, d</w:t>
            </w:r>
            <w:r w:rsidRPr="00E56B40">
              <w:rPr>
                <w:bCs/>
                <w:lang w:val="fr-FR"/>
              </w:rPr>
              <w:t xml:space="preserve">omande a risposta aperta </w:t>
            </w:r>
            <w:r w:rsidR="000F633A">
              <w:rPr>
                <w:bCs/>
                <w:lang w:val="fr-FR"/>
              </w:rPr>
              <w:t>sui</w:t>
            </w:r>
            <w:r>
              <w:rPr>
                <w:bCs/>
                <w:lang w:val="fr-FR"/>
              </w:rPr>
              <w:t xml:space="preserve"> libri</w:t>
            </w:r>
            <w:r w:rsidR="000F633A">
              <w:rPr>
                <w:bCs/>
                <w:lang w:val="fr-FR"/>
              </w:rPr>
              <w:t xml:space="preserve"> di Formigari e di Auroux.</w:t>
            </w:r>
          </w:p>
          <w:p w14:paraId="45698300" w14:textId="77777777" w:rsidR="00862679" w:rsidRPr="006A6919" w:rsidRDefault="00862679" w:rsidP="00D92A0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fr-FR"/>
              </w:rPr>
            </w:pPr>
          </w:p>
          <w:p w14:paraId="7BD36DD7" w14:textId="77777777" w:rsidR="00862679" w:rsidRPr="006A6919" w:rsidRDefault="00862679" w:rsidP="006A6919">
            <w:pPr>
              <w:tabs>
                <w:tab w:val="left" w:pos="6425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t xml:space="preserve">   </w:t>
            </w:r>
            <w:r w:rsidR="006A6919">
              <w:rPr>
                <w:u w:val="single"/>
              </w:rPr>
              <w:t>Prova di fine corso orale</w:t>
            </w:r>
            <w:r w:rsidR="006A6919">
              <w:t xml:space="preserve">.           </w:t>
            </w:r>
            <w:r>
              <w:t xml:space="preserve">Alle date in calendario, domande </w:t>
            </w:r>
            <w:r w:rsidR="000F633A">
              <w:t>sui</w:t>
            </w:r>
            <w:r>
              <w:t xml:space="preserve"> libri</w:t>
            </w:r>
            <w:r w:rsidR="000F633A">
              <w:t xml:space="preserve"> di De Mauro e di Vecchio</w:t>
            </w:r>
            <w:r>
              <w:t xml:space="preserve">. </w:t>
            </w:r>
            <w:r w:rsidR="006A6919">
              <w:t xml:space="preserve">        C</w:t>
            </w:r>
            <w:r>
              <w:t xml:space="preserve">hi non avrà sostenuto o non avrà superato la prova in itinere porterà </w:t>
            </w:r>
            <w:r w:rsidR="00342212">
              <w:t xml:space="preserve">all’orale </w:t>
            </w:r>
            <w:r>
              <w:t xml:space="preserve">l’intero programma. </w:t>
            </w:r>
          </w:p>
          <w:p w14:paraId="7929BEF2" w14:textId="77777777" w:rsidR="00862679" w:rsidRDefault="00862679" w:rsidP="00D92A0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fr-FR"/>
              </w:rPr>
            </w:pPr>
          </w:p>
          <w:p w14:paraId="518F5534" w14:textId="77777777" w:rsidR="00862679" w:rsidRPr="00E56B40" w:rsidRDefault="00862679" w:rsidP="00D92A0C">
            <w:pPr>
              <w:autoSpaceDE w:val="0"/>
              <w:autoSpaceDN w:val="0"/>
              <w:adjustRightInd w:val="0"/>
              <w:jc w:val="both"/>
              <w:rPr>
                <w:bCs/>
                <w:lang w:val="fr-FR"/>
              </w:rPr>
            </w:pPr>
            <w:r w:rsidRPr="00E56B40">
              <w:rPr>
                <w:sz w:val="20"/>
                <w:szCs w:val="20"/>
              </w:rPr>
              <w:t>Per la valutazione dell’esame si terrà conto della padronanza dei contenuti e delle competenze acquisite, dell’accuratezza linguistica e proprietà lessicale, nonché della capacità argomentativa</w:t>
            </w:r>
            <w:r w:rsidRPr="00F112FF">
              <w:t>.</w:t>
            </w:r>
          </w:p>
        </w:tc>
      </w:tr>
    </w:tbl>
    <w:p w14:paraId="4C27FC1E" w14:textId="77777777" w:rsidR="00F804B0" w:rsidRPr="006F0DFF" w:rsidRDefault="00F804B0" w:rsidP="00F804B0">
      <w:pPr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14FD" w:rsidRPr="00A7049C">
        <w:t>Il Docente</w:t>
      </w:r>
      <w:r w:rsidR="005E5A4D">
        <w:t xml:space="preserve">       </w:t>
      </w:r>
      <w:r w:rsidR="00AF63BD" w:rsidRPr="009272AB">
        <w:rPr>
          <w:noProof/>
        </w:rPr>
        <w:drawing>
          <wp:inline distT="0" distB="0" distL="0" distR="0" wp14:anchorId="74396AF6" wp14:editId="59C95E72">
            <wp:extent cx="800100" cy="393700"/>
            <wp:effectExtent l="0" t="0" r="0" b="0"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04B0" w:rsidRPr="006F0DFF" w:rsidSect="00F804B0">
      <w:headerReference w:type="default" r:id="rId9"/>
      <w:pgSz w:w="11900" w:h="1682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4F32E" w14:textId="77777777" w:rsidR="00ED57B7" w:rsidRDefault="00ED57B7" w:rsidP="006F0DFF">
      <w:r>
        <w:separator/>
      </w:r>
    </w:p>
  </w:endnote>
  <w:endnote w:type="continuationSeparator" w:id="0">
    <w:p w14:paraId="104A1499" w14:textId="77777777" w:rsidR="00ED57B7" w:rsidRDefault="00ED57B7" w:rsidP="006F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464A0" w14:textId="77777777" w:rsidR="00ED57B7" w:rsidRDefault="00ED57B7" w:rsidP="006F0DFF">
      <w:r>
        <w:separator/>
      </w:r>
    </w:p>
  </w:footnote>
  <w:footnote w:type="continuationSeparator" w:id="0">
    <w:p w14:paraId="2EC56605" w14:textId="77777777" w:rsidR="00ED57B7" w:rsidRDefault="00ED57B7" w:rsidP="006F0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20409" w14:textId="77777777" w:rsidR="00162234" w:rsidRDefault="00162234">
    <w:pPr>
      <w:pStyle w:val="Intest"/>
    </w:pPr>
    <w:r>
      <w:t>Anno Accademico 2020-2021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F003F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83CDC"/>
    <w:multiLevelType w:val="hybridMultilevel"/>
    <w:tmpl w:val="0144C7A2"/>
    <w:lvl w:ilvl="0" w:tplc="8B0A98C4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D29"/>
    <w:multiLevelType w:val="hybridMultilevel"/>
    <w:tmpl w:val="24E6186C"/>
    <w:lvl w:ilvl="0" w:tplc="C770BB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  <w:w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574E6"/>
    <w:multiLevelType w:val="hybridMultilevel"/>
    <w:tmpl w:val="BF3E4E72"/>
    <w:lvl w:ilvl="0" w:tplc="D668D9FE">
      <w:start w:val="99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A684B"/>
    <w:multiLevelType w:val="hybridMultilevel"/>
    <w:tmpl w:val="8FFC495E"/>
    <w:lvl w:ilvl="0" w:tplc="D668D9FE">
      <w:start w:val="99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B4EF2"/>
    <w:multiLevelType w:val="hybridMultilevel"/>
    <w:tmpl w:val="FE547176"/>
    <w:lvl w:ilvl="0" w:tplc="D668D9FE">
      <w:start w:val="99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603AE"/>
    <w:multiLevelType w:val="hybridMultilevel"/>
    <w:tmpl w:val="F89E6E14"/>
    <w:lvl w:ilvl="0" w:tplc="D668D9FE">
      <w:start w:val="99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0C4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hint="default"/>
        <w:w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6164B"/>
    <w:multiLevelType w:val="hybridMultilevel"/>
    <w:tmpl w:val="CB54D2B8"/>
    <w:lvl w:ilvl="0" w:tplc="D668D9FE">
      <w:start w:val="99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7545"/>
    <w:multiLevelType w:val="multilevel"/>
    <w:tmpl w:val="F9D067BA"/>
    <w:lvl w:ilvl="0">
      <w:start w:val="99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CBC5233"/>
    <w:multiLevelType w:val="multilevel"/>
    <w:tmpl w:val="CB54D2B8"/>
    <w:lvl w:ilvl="0">
      <w:start w:val="99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D72FF"/>
    <w:multiLevelType w:val="hybridMultilevel"/>
    <w:tmpl w:val="DDE075E4"/>
    <w:lvl w:ilvl="0" w:tplc="8B0A98C4">
      <w:start w:val="99"/>
      <w:numFmt w:val="bullet"/>
      <w:lvlText w:val="-"/>
      <w:lvlJc w:val="left"/>
      <w:pPr>
        <w:ind w:left="401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5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774" w:hanging="360"/>
      </w:pPr>
      <w:rPr>
        <w:rFonts w:ascii="Wingdings" w:hAnsi="Wingdings" w:hint="default"/>
      </w:rPr>
    </w:lvl>
  </w:abstractNum>
  <w:abstractNum w:abstractNumId="11" w15:restartNumberingAfterBreak="0">
    <w:nsid w:val="76DA5106"/>
    <w:multiLevelType w:val="hybridMultilevel"/>
    <w:tmpl w:val="2A2C5E8A"/>
    <w:lvl w:ilvl="0" w:tplc="D668D9FE">
      <w:start w:val="99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70BB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hint="default"/>
        <w:w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4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FF"/>
    <w:rsid w:val="00035642"/>
    <w:rsid w:val="000551A1"/>
    <w:rsid w:val="00061258"/>
    <w:rsid w:val="00062A10"/>
    <w:rsid w:val="00076B99"/>
    <w:rsid w:val="000A3E33"/>
    <w:rsid w:val="000B3537"/>
    <w:rsid w:val="000C47E2"/>
    <w:rsid w:val="000D3C40"/>
    <w:rsid w:val="000E38F7"/>
    <w:rsid w:val="000F633A"/>
    <w:rsid w:val="00112568"/>
    <w:rsid w:val="00114217"/>
    <w:rsid w:val="00162234"/>
    <w:rsid w:val="00175DA7"/>
    <w:rsid w:val="00175DD8"/>
    <w:rsid w:val="001B71E6"/>
    <w:rsid w:val="001D687C"/>
    <w:rsid w:val="00262178"/>
    <w:rsid w:val="002A4D83"/>
    <w:rsid w:val="002B5C5C"/>
    <w:rsid w:val="002E31BF"/>
    <w:rsid w:val="002E48DC"/>
    <w:rsid w:val="00342212"/>
    <w:rsid w:val="003628B4"/>
    <w:rsid w:val="00387766"/>
    <w:rsid w:val="003A4A40"/>
    <w:rsid w:val="003B067A"/>
    <w:rsid w:val="003B1F6E"/>
    <w:rsid w:val="003B2BE3"/>
    <w:rsid w:val="00411665"/>
    <w:rsid w:val="00454FA3"/>
    <w:rsid w:val="00475552"/>
    <w:rsid w:val="004808E7"/>
    <w:rsid w:val="004872F7"/>
    <w:rsid w:val="004F22EE"/>
    <w:rsid w:val="004F47D0"/>
    <w:rsid w:val="00503D05"/>
    <w:rsid w:val="00507E24"/>
    <w:rsid w:val="00513082"/>
    <w:rsid w:val="00517D6B"/>
    <w:rsid w:val="00521D4C"/>
    <w:rsid w:val="00552615"/>
    <w:rsid w:val="00573755"/>
    <w:rsid w:val="00592D23"/>
    <w:rsid w:val="005A39C5"/>
    <w:rsid w:val="005B5A01"/>
    <w:rsid w:val="005E5A4D"/>
    <w:rsid w:val="005E6311"/>
    <w:rsid w:val="00606D1C"/>
    <w:rsid w:val="00610412"/>
    <w:rsid w:val="00615F49"/>
    <w:rsid w:val="00636A16"/>
    <w:rsid w:val="00641F59"/>
    <w:rsid w:val="006657EB"/>
    <w:rsid w:val="006665E0"/>
    <w:rsid w:val="00671268"/>
    <w:rsid w:val="006722A3"/>
    <w:rsid w:val="00674CF1"/>
    <w:rsid w:val="00676079"/>
    <w:rsid w:val="00685106"/>
    <w:rsid w:val="006A6919"/>
    <w:rsid w:val="006A7B3F"/>
    <w:rsid w:val="006B5175"/>
    <w:rsid w:val="006F0DFF"/>
    <w:rsid w:val="00750521"/>
    <w:rsid w:val="00796149"/>
    <w:rsid w:val="007B1C9D"/>
    <w:rsid w:val="007E223A"/>
    <w:rsid w:val="007E4180"/>
    <w:rsid w:val="007F0308"/>
    <w:rsid w:val="007F2A9D"/>
    <w:rsid w:val="00862679"/>
    <w:rsid w:val="00866563"/>
    <w:rsid w:val="008703FD"/>
    <w:rsid w:val="00873E2B"/>
    <w:rsid w:val="008A30D5"/>
    <w:rsid w:val="00902952"/>
    <w:rsid w:val="00965DAE"/>
    <w:rsid w:val="00980E08"/>
    <w:rsid w:val="009B46F3"/>
    <w:rsid w:val="009C03F5"/>
    <w:rsid w:val="009C2457"/>
    <w:rsid w:val="009C2EAA"/>
    <w:rsid w:val="00A66070"/>
    <w:rsid w:val="00A7049C"/>
    <w:rsid w:val="00A9545F"/>
    <w:rsid w:val="00AB7BB8"/>
    <w:rsid w:val="00AE7A0C"/>
    <w:rsid w:val="00AF63BD"/>
    <w:rsid w:val="00B01670"/>
    <w:rsid w:val="00B05063"/>
    <w:rsid w:val="00B75937"/>
    <w:rsid w:val="00B7794F"/>
    <w:rsid w:val="00B84A53"/>
    <w:rsid w:val="00B92DE3"/>
    <w:rsid w:val="00C005D2"/>
    <w:rsid w:val="00C52A7A"/>
    <w:rsid w:val="00C56EA3"/>
    <w:rsid w:val="00C768DE"/>
    <w:rsid w:val="00C82F46"/>
    <w:rsid w:val="00CD144E"/>
    <w:rsid w:val="00CD42C1"/>
    <w:rsid w:val="00CD6CF7"/>
    <w:rsid w:val="00CF062E"/>
    <w:rsid w:val="00D47D98"/>
    <w:rsid w:val="00D92A0C"/>
    <w:rsid w:val="00DB5632"/>
    <w:rsid w:val="00DC16FF"/>
    <w:rsid w:val="00DE721B"/>
    <w:rsid w:val="00DE74F5"/>
    <w:rsid w:val="00DF2728"/>
    <w:rsid w:val="00E0089A"/>
    <w:rsid w:val="00E74F4A"/>
    <w:rsid w:val="00E80E63"/>
    <w:rsid w:val="00ED57B7"/>
    <w:rsid w:val="00EE5AD7"/>
    <w:rsid w:val="00EF50BA"/>
    <w:rsid w:val="00F00475"/>
    <w:rsid w:val="00F30DAC"/>
    <w:rsid w:val="00F314FD"/>
    <w:rsid w:val="00F606E5"/>
    <w:rsid w:val="00F74000"/>
    <w:rsid w:val="00F804B0"/>
    <w:rsid w:val="00F95B95"/>
    <w:rsid w:val="00FE294C"/>
    <w:rsid w:val="00FF71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5D4206"/>
  <w15:chartTrackingRefBased/>
  <w15:docId w15:val="{D1B29282-F933-994D-A87E-8E1B12CE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6F0DFF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F0DFF"/>
    <w:pPr>
      <w:keepNext/>
      <w:spacing w:line="240" w:lineRule="exact"/>
      <w:jc w:val="center"/>
      <w:outlineLvl w:val="0"/>
    </w:pPr>
    <w:rPr>
      <w:i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F0DFF"/>
    <w:pPr>
      <w:keepNext/>
      <w:jc w:val="center"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6F0DFF"/>
    <w:rPr>
      <w:rFonts w:ascii="Times New Roman" w:hAnsi="Times New Roman" w:cs="Times New Roman"/>
      <w:i/>
      <w:sz w:val="20"/>
    </w:rPr>
  </w:style>
  <w:style w:type="character" w:customStyle="1" w:styleId="Titolo2Carattere">
    <w:name w:val="Titolo 2 Carattere"/>
    <w:link w:val="Titolo2"/>
    <w:uiPriority w:val="99"/>
    <w:rsid w:val="006F0DFF"/>
    <w:rPr>
      <w:rFonts w:ascii="Times New Roman" w:hAnsi="Times New Roman" w:cs="Times New Roman"/>
      <w:sz w:val="20"/>
    </w:rPr>
  </w:style>
  <w:style w:type="character" w:customStyle="1" w:styleId="Caratterepredefinito">
    <w:name w:val="Carattere predefinito"/>
    <w:uiPriority w:val="99"/>
    <w:semiHidden/>
  </w:style>
  <w:style w:type="table" w:customStyle="1" w:styleId="Tabellanorm">
    <w:name w:val="Tabella norm"/>
    <w:uiPriority w:val="99"/>
    <w:semiHidden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rsid w:val="006F0DFF"/>
    <w:pPr>
      <w:ind w:firstLine="284"/>
      <w:jc w:val="both"/>
    </w:pPr>
    <w:rPr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rsid w:val="006F0DFF"/>
    <w:rPr>
      <w:rFonts w:ascii="Times New Roman" w:hAnsi="Times New Roman" w:cs="Times New Roman"/>
      <w:sz w:val="20"/>
    </w:rPr>
  </w:style>
  <w:style w:type="paragraph" w:customStyle="1" w:styleId="Intest">
    <w:name w:val="Intest"/>
    <w:basedOn w:val="Normale"/>
    <w:uiPriority w:val="99"/>
    <w:rsid w:val="006F0DFF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rsid w:val="006F0DFF"/>
    <w:rPr>
      <w:rFonts w:ascii="Times New Roman" w:hAnsi="Times New Roman" w:cs="Times New Roman"/>
    </w:rPr>
  </w:style>
  <w:style w:type="paragraph" w:customStyle="1" w:styleId="Testo1">
    <w:name w:val="Testo 1"/>
    <w:uiPriority w:val="99"/>
    <w:rsid w:val="006F0DFF"/>
    <w:pPr>
      <w:spacing w:line="220" w:lineRule="exact"/>
      <w:ind w:left="284" w:hanging="284"/>
      <w:jc w:val="both"/>
    </w:pPr>
    <w:rPr>
      <w:rFonts w:ascii="Times" w:hAnsi="Times"/>
      <w:noProof/>
      <w:sz w:val="18"/>
      <w:szCs w:val="24"/>
      <w:lang w:eastAsia="en-US"/>
    </w:rPr>
  </w:style>
  <w:style w:type="character" w:customStyle="1" w:styleId="Testo1Carattere">
    <w:name w:val="Testo 1 Carattere"/>
    <w:uiPriority w:val="99"/>
    <w:rsid w:val="006F0DFF"/>
    <w:rPr>
      <w:rFonts w:ascii="Times" w:hAnsi="Times"/>
      <w:noProof/>
      <w:sz w:val="24"/>
    </w:rPr>
  </w:style>
  <w:style w:type="paragraph" w:customStyle="1" w:styleId="Testofumett">
    <w:name w:val="Testo fumett"/>
    <w:basedOn w:val="Normale"/>
    <w:uiPriority w:val="99"/>
    <w:semiHidden/>
    <w:rsid w:val="006F0D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6F0DFF"/>
    <w:rPr>
      <w:rFonts w:ascii="Lucida Grande" w:hAnsi="Lucida Grande" w:cs="Lucida Grande"/>
      <w:sz w:val="18"/>
    </w:rPr>
  </w:style>
  <w:style w:type="paragraph" w:customStyle="1" w:styleId="Pidi">
    <w:name w:val="Piè di"/>
    <w:basedOn w:val="Normale"/>
    <w:uiPriority w:val="99"/>
    <w:rsid w:val="006F0DFF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rsid w:val="006F0DFF"/>
    <w:rPr>
      <w:rFonts w:ascii="Times New Roman" w:hAnsi="Times New Roman" w:cs="Times New Roman"/>
    </w:rPr>
  </w:style>
  <w:style w:type="paragraph" w:styleId="Grigliamedia1-Colore2">
    <w:name w:val="Medium Grid 1 Accent 2"/>
    <w:basedOn w:val="Normale"/>
    <w:uiPriority w:val="99"/>
    <w:qFormat/>
    <w:rsid w:val="0067126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93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75937"/>
    <w:rPr>
      <w:rFonts w:ascii="Lucida Grande" w:hAnsi="Lucida Grande" w:cs="Lucida Grande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804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804B0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804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804B0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628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Carminella</dc:creator>
  <cp:keywords/>
  <cp:lastModifiedBy>Microsoft Office User</cp:lastModifiedBy>
  <cp:revision>2</cp:revision>
  <cp:lastPrinted>2016-05-04T09:51:00Z</cp:lastPrinted>
  <dcterms:created xsi:type="dcterms:W3CDTF">2020-10-01T14:17:00Z</dcterms:created>
  <dcterms:modified xsi:type="dcterms:W3CDTF">2020-10-01T14:17:00Z</dcterms:modified>
</cp:coreProperties>
</file>