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3E3C" w14:textId="1F95300E" w:rsidR="003E6485" w:rsidRDefault="003E6485" w:rsidP="00216CB7">
      <w:pPr>
        <w:rPr>
          <w:b/>
          <w:sz w:val="22"/>
        </w:rPr>
      </w:pPr>
      <w:r>
        <w:rPr>
          <w:lang w:val="fr-FR"/>
        </w:rPr>
        <w:t xml:space="preserve"> </w:t>
      </w:r>
    </w:p>
    <w:p w14:paraId="12C6A11A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L'AUF Europe de l'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Ouest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lance un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nouvel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appel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à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à l'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attention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ses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membres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visant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à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soutenir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formes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innovantes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coopération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interdisciplinaire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internationale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et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intersectorielle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.</w:t>
      </w:r>
    </w:p>
    <w:p w14:paraId="691F2774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 xml:space="preserve">La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coopération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est un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déterminant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essentiel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l’innovation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scientifique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institutionnelle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sociétale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.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Opportunités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crises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transforment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en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profondeur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modalités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objectifs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 l’impact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l’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échelle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la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coopération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universitaire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qui se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réinvente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grâce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à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multiples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expérimentations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créatives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.</w:t>
      </w:r>
    </w:p>
    <w:p w14:paraId="6B397224" w14:textId="77777777" w:rsidR="00216CB7" w:rsidRP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color w:val="1C1C1C"/>
          <w:sz w:val="38"/>
          <w:szCs w:val="38"/>
        </w:rPr>
      </w:pPr>
      <w:proofErr w:type="spellStart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>Objectifs</w:t>
      </w:r>
      <w:proofErr w:type="spellEnd"/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</w:p>
    <w:p w14:paraId="15DCC997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L’appel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 à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CO//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ectif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vise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spécifiquement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à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soutenir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formes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innovantes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coopération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interdisciplinaire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internationale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 et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intersectorielle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qui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dépassent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la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réaction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aux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crises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s’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inscrivent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dans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la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durée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. </w:t>
      </w:r>
    </w:p>
    <w:p w14:paraId="522E58BB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Cette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coopération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peut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concerner l’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expérimentation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participative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proofErr w:type="gramStart"/>
      <w:r w:rsidRPr="00216CB7">
        <w:rPr>
          <w:rFonts w:ascii="Open Sans" w:hAnsi="Open Sans" w:cs="Open Sans"/>
          <w:color w:val="1C1C1C"/>
          <w:sz w:val="23"/>
          <w:szCs w:val="23"/>
        </w:rPr>
        <w:t>dans</w:t>
      </w:r>
      <w:proofErr w:type="spellEnd"/>
      <w:r w:rsidRPr="00216CB7">
        <w:rPr>
          <w:rFonts w:ascii="Arial" w:hAnsi="Arial" w:cs="Arial"/>
          <w:color w:val="1C1C1C"/>
          <w:sz w:val="23"/>
          <w:szCs w:val="23"/>
        </w:rPr>
        <w:t> </w:t>
      </w:r>
      <w:r w:rsidRPr="00216CB7">
        <w:rPr>
          <w:rFonts w:ascii="Open Sans" w:hAnsi="Open Sans" w:cs="Open Sans"/>
          <w:color w:val="1C1C1C"/>
          <w:sz w:val="23"/>
          <w:szCs w:val="23"/>
        </w:rPr>
        <w:t>:</w:t>
      </w:r>
      <w:proofErr w:type="gram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</w:p>
    <w:p w14:paraId="570EE496" w14:textId="77777777" w:rsidR="00216CB7" w:rsidRPr="00216CB7" w:rsidRDefault="00216CB7" w:rsidP="00216CB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 xml:space="preserve">la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création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connaissances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autour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objets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théoriques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émergents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thématiques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inédites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  </w:t>
      </w:r>
    </w:p>
    <w:p w14:paraId="7164227C" w14:textId="77777777" w:rsidR="00216CB7" w:rsidRPr="00216CB7" w:rsidRDefault="00216CB7" w:rsidP="00216CB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>l’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élaboration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hypothèses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protocoles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originaux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  </w:t>
      </w:r>
    </w:p>
    <w:p w14:paraId="298BE0A4" w14:textId="77777777" w:rsidR="00216CB7" w:rsidRPr="00216CB7" w:rsidRDefault="00216CB7" w:rsidP="00216CB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 xml:space="preserve">le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montage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pratiques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contenus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pédagogiques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innovants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  </w:t>
      </w:r>
    </w:p>
    <w:p w14:paraId="7635B523" w14:textId="77777777" w:rsidR="00216CB7" w:rsidRPr="00216CB7" w:rsidRDefault="00216CB7" w:rsidP="00216CB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partenariats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avec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 parties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prenantes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provenant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 –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organisations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internationales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régionales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agences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gouvernementales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réseaux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transnationaux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 entreprises,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associations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professionnelles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. </w:t>
      </w:r>
    </w:p>
    <w:p w14:paraId="0572FD73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Tous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domaines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sont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proofErr w:type="gram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concernés</w:t>
      </w:r>
      <w:proofErr w:type="spellEnd"/>
      <w:r w:rsidRPr="00216CB7">
        <w:rPr>
          <w:rFonts w:ascii="Arial" w:hAnsi="Arial" w:cs="Arial"/>
          <w:b/>
          <w:bCs/>
          <w:color w:val="1C1C1C"/>
          <w:sz w:val="23"/>
          <w:szCs w:val="23"/>
        </w:rPr>
        <w:t> </w:t>
      </w:r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:</w:t>
      </w:r>
      <w:proofErr w:type="gram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formation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, 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numérique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,</w:t>
      </w:r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recherche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sciences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ouvertes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employabilité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entrepreneuriat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gouvernance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.</w:t>
      </w:r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</w:p>
    <w:p w14:paraId="2771D076" w14:textId="77777777" w:rsidR="00216CB7" w:rsidRP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color w:val="1C1C1C"/>
          <w:sz w:val="38"/>
          <w:szCs w:val="38"/>
        </w:rPr>
      </w:pPr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 xml:space="preserve">Public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>cible</w:t>
      </w:r>
      <w:proofErr w:type="spellEnd"/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</w:p>
    <w:p w14:paraId="545714BC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L’appel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à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Co//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ectif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s’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adresse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 à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toutes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catégories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personnels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fldChar w:fldCharType="begin"/>
      </w:r>
      <w:r w:rsidRPr="00216CB7">
        <w:rPr>
          <w:rFonts w:ascii="Open Sans" w:hAnsi="Open Sans" w:cs="Open Sans"/>
          <w:color w:val="1C1C1C"/>
          <w:sz w:val="23"/>
          <w:szCs w:val="23"/>
        </w:rPr>
        <w:instrText xml:space="preserve"> HYPERLINK "https://www.auf.org/europe-ouest/membres/nos-membres/" </w:instrText>
      </w:r>
      <w:r w:rsidRPr="00216CB7">
        <w:rPr>
          <w:rFonts w:ascii="Open Sans" w:hAnsi="Open Sans" w:cs="Open Sans"/>
          <w:color w:val="1C1C1C"/>
          <w:sz w:val="23"/>
          <w:szCs w:val="23"/>
        </w:rPr>
        <w:fldChar w:fldCharType="separate"/>
      </w:r>
      <w:r w:rsidRPr="00216CB7">
        <w:rPr>
          <w:rFonts w:ascii="Open Sans" w:hAnsi="Open Sans" w:cs="Open Sans"/>
          <w:color w:val="1C1C1C"/>
          <w:sz w:val="23"/>
          <w:szCs w:val="23"/>
          <w:u w:val="single"/>
        </w:rPr>
        <w:t>établissements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  <w:u w:val="single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  <w:u w:val="single"/>
        </w:rPr>
        <w:t>membres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  <w:u w:val="single"/>
        </w:rPr>
        <w:t xml:space="preserve"> de l’AUF en Europe de l’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  <w:u w:val="single"/>
        </w:rPr>
        <w:t>Ouest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fldChar w:fldCharType="end"/>
      </w:r>
      <w:r w:rsidRPr="00216CB7">
        <w:rPr>
          <w:rFonts w:ascii="Open Sans" w:hAnsi="Open Sans" w:cs="Open Sans"/>
          <w:color w:val="1C1C1C"/>
          <w:sz w:val="23"/>
          <w:szCs w:val="23"/>
        </w:rPr>
        <w:t>. </w:t>
      </w:r>
    </w:p>
    <w:p w14:paraId="2BC35048" w14:textId="77777777" w:rsidR="00216CB7" w:rsidRP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color w:val="1C1C1C"/>
          <w:sz w:val="38"/>
          <w:szCs w:val="38"/>
        </w:rPr>
      </w:pPr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>Priorités</w:t>
      </w:r>
      <w:proofErr w:type="spellEnd"/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</w:p>
    <w:p w14:paraId="7EEBA7C7" w14:textId="77777777" w:rsidR="00216CB7" w:rsidRPr="00216CB7" w:rsidRDefault="00216CB7" w:rsidP="00216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collectifs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impliquant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mobilités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virtuelles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hybrides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  </w:t>
      </w:r>
    </w:p>
    <w:p w14:paraId="31908464" w14:textId="77777777" w:rsidR="00216CB7" w:rsidRPr="00216CB7" w:rsidRDefault="00216CB7" w:rsidP="00216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formes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transfert et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valorisation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inédites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connaissances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  </w:t>
      </w:r>
    </w:p>
    <w:p w14:paraId="1033B6FD" w14:textId="77777777" w:rsidR="00216CB7" w:rsidRPr="00216CB7" w:rsidRDefault="00216CB7" w:rsidP="00216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publications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scientifiques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francophones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,</w:t>
      </w:r>
    </w:p>
    <w:p w14:paraId="2AFFC667" w14:textId="77777777" w:rsidR="00216CB7" w:rsidRPr="00216CB7" w:rsidRDefault="00216CB7" w:rsidP="00216C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 xml:space="preserve">le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développement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capacités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institutionnelles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de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compétences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individuelles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. </w:t>
      </w:r>
    </w:p>
    <w:p w14:paraId="750A8614" w14:textId="77777777" w:rsid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b/>
          <w:bCs/>
          <w:color w:val="1C1C1C"/>
          <w:sz w:val="38"/>
          <w:szCs w:val="38"/>
        </w:rPr>
      </w:pPr>
    </w:p>
    <w:p w14:paraId="316B23A1" w14:textId="0611D44F" w:rsidR="00216CB7" w:rsidRP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color w:val="1C1C1C"/>
          <w:sz w:val="38"/>
          <w:szCs w:val="38"/>
        </w:rPr>
      </w:pPr>
      <w:proofErr w:type="spellStart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lastRenderedPageBreak/>
        <w:t>Contribution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 xml:space="preserve"> de l’AUF</w:t>
      </w:r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</w:p>
    <w:p w14:paraId="76429287" w14:textId="77777777" w:rsidR="00216CB7" w:rsidRPr="00216CB7" w:rsidRDefault="00216CB7" w:rsidP="00216CB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Cofinancement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allant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jusqu’à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15.000 € par </w:t>
      </w:r>
      <w:proofErr w:type="spellStart"/>
      <w:proofErr w:type="gramStart"/>
      <w:r w:rsidRPr="00216CB7">
        <w:rPr>
          <w:rFonts w:ascii="Open Sans" w:hAnsi="Open Sans" w:cs="Open Sans"/>
          <w:color w:val="1C1C1C"/>
          <w:sz w:val="23"/>
          <w:szCs w:val="23"/>
        </w:rPr>
        <w:t>projet</w:t>
      </w:r>
      <w:proofErr w:type="spellEnd"/>
      <w:r w:rsidRPr="00216CB7">
        <w:rPr>
          <w:rFonts w:ascii="Arial" w:hAnsi="Arial" w:cs="Arial"/>
          <w:color w:val="1C1C1C"/>
          <w:sz w:val="23"/>
          <w:szCs w:val="23"/>
        </w:rPr>
        <w:t> </w:t>
      </w:r>
      <w:r w:rsidRPr="00216CB7">
        <w:rPr>
          <w:rFonts w:ascii="Open Sans" w:hAnsi="Open Sans" w:cs="Open Sans"/>
          <w:color w:val="1C1C1C"/>
          <w:sz w:val="23"/>
          <w:szCs w:val="23"/>
        </w:rPr>
        <w:t>;</w:t>
      </w:r>
      <w:proofErr w:type="gramEnd"/>
      <w:r w:rsidRPr="00216CB7">
        <w:rPr>
          <w:rFonts w:ascii="Arial" w:hAnsi="Arial" w:cs="Arial"/>
          <w:color w:val="1C1C1C"/>
          <w:sz w:val="23"/>
          <w:szCs w:val="23"/>
        </w:rPr>
        <w:t> </w:t>
      </w:r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</w:p>
    <w:p w14:paraId="72FC4A56" w14:textId="77777777" w:rsidR="00216CB7" w:rsidRPr="00216CB7" w:rsidRDefault="00216CB7" w:rsidP="00216CB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Valorisation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diffusion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résultats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. </w:t>
      </w:r>
    </w:p>
    <w:p w14:paraId="53BCCAD7" w14:textId="77777777" w:rsidR="00216CB7" w:rsidRP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color w:val="1C1C1C"/>
          <w:sz w:val="38"/>
          <w:szCs w:val="38"/>
        </w:rPr>
      </w:pPr>
      <w:proofErr w:type="spellStart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>Calendrier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> </w:t>
      </w:r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</w:p>
    <w:p w14:paraId="0CBE6EDA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L’appel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à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CO//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ectif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 2021 est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ouvert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5 mai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au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15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juin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 2021 à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minuit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,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>heure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t xml:space="preserve"> de Bruxelles</w:t>
      </w:r>
      <w:r w:rsidRPr="00216CB7">
        <w:rPr>
          <w:rFonts w:ascii="Open Sans" w:hAnsi="Open Sans" w:cs="Open Sans"/>
          <w:color w:val="1C1C1C"/>
          <w:sz w:val="23"/>
          <w:szCs w:val="23"/>
        </w:rPr>
        <w:t>.  </w:t>
      </w:r>
    </w:p>
    <w:p w14:paraId="00AF6562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projets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sélectionnés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commenceront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au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plus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tard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en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septembre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2021. </w:t>
      </w:r>
    </w:p>
    <w:p w14:paraId="63D11F51" w14:textId="77777777" w:rsidR="00216CB7" w:rsidRPr="00216CB7" w:rsidRDefault="00216CB7" w:rsidP="00216CB7">
      <w:pPr>
        <w:shd w:val="clear" w:color="auto" w:fill="FFFFFF"/>
        <w:spacing w:after="300"/>
        <w:outlineLvl w:val="2"/>
        <w:rPr>
          <w:rFonts w:ascii="Open Sans" w:hAnsi="Open Sans" w:cs="Open Sans"/>
          <w:color w:val="1C1C1C"/>
          <w:sz w:val="38"/>
          <w:szCs w:val="38"/>
        </w:rPr>
      </w:pPr>
      <w:r w:rsidRPr="00216CB7">
        <w:rPr>
          <w:rFonts w:ascii="Open Sans" w:hAnsi="Open Sans" w:cs="Open Sans"/>
          <w:b/>
          <w:bCs/>
          <w:color w:val="1C1C1C"/>
          <w:sz w:val="38"/>
          <w:szCs w:val="38"/>
        </w:rPr>
        <w:t>Candidature</w:t>
      </w:r>
      <w:r w:rsidRPr="00216CB7">
        <w:rPr>
          <w:rFonts w:ascii="Open Sans" w:hAnsi="Open Sans" w:cs="Open Sans"/>
          <w:color w:val="1C1C1C"/>
          <w:sz w:val="38"/>
          <w:szCs w:val="38"/>
        </w:rPr>
        <w:t> </w:t>
      </w:r>
    </w:p>
    <w:p w14:paraId="68AB418A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Toutes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informations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pour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déposer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une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proposition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sont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disponibles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dans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les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fldChar w:fldCharType="begin"/>
      </w:r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instrText xml:space="preserve"> HYPERLINK "https://www.auf.org/wp-content/uploads/2021/05/Collectif_Lignes_directrices_2021.pdf" </w:instrText>
      </w:r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fldChar w:fldCharType="separate"/>
      </w:r>
      <w:r w:rsidRPr="00216CB7">
        <w:rPr>
          <w:rFonts w:ascii="Open Sans" w:hAnsi="Open Sans" w:cs="Open Sans"/>
          <w:b/>
          <w:bCs/>
          <w:color w:val="1C1C1C"/>
          <w:sz w:val="23"/>
          <w:szCs w:val="23"/>
          <w:u w:val="single"/>
        </w:rPr>
        <w:t>Lignes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  <w:u w:val="single"/>
        </w:rPr>
        <w:t xml:space="preserve"> </w:t>
      </w:r>
      <w:proofErr w:type="spellStart"/>
      <w:r w:rsidRPr="00216CB7">
        <w:rPr>
          <w:rFonts w:ascii="Open Sans" w:hAnsi="Open Sans" w:cs="Open Sans"/>
          <w:b/>
          <w:bCs/>
          <w:color w:val="1C1C1C"/>
          <w:sz w:val="23"/>
          <w:szCs w:val="23"/>
          <w:u w:val="single"/>
        </w:rPr>
        <w:t>directrices</w:t>
      </w:r>
      <w:proofErr w:type="spellEnd"/>
      <w:r w:rsidRPr="00216CB7">
        <w:rPr>
          <w:rFonts w:ascii="Open Sans" w:hAnsi="Open Sans" w:cs="Open Sans"/>
          <w:b/>
          <w:bCs/>
          <w:color w:val="1C1C1C"/>
          <w:sz w:val="23"/>
          <w:szCs w:val="23"/>
        </w:rPr>
        <w:fldChar w:fldCharType="end"/>
      </w:r>
      <w:r w:rsidRPr="00216CB7">
        <w:rPr>
          <w:rFonts w:ascii="Open Sans" w:hAnsi="Open Sans" w:cs="Open Sans"/>
          <w:color w:val="1C1C1C"/>
          <w:sz w:val="23"/>
          <w:szCs w:val="23"/>
        </w:rPr>
        <w:t> de CO//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ectif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. </w:t>
      </w:r>
    </w:p>
    <w:p w14:paraId="0CFE2BA5" w14:textId="77777777" w:rsidR="00216CB7" w:rsidRPr="00216CB7" w:rsidRDefault="00216CB7" w:rsidP="00216CB7">
      <w:pPr>
        <w:shd w:val="clear" w:color="auto" w:fill="FFFFFF"/>
        <w:spacing w:after="300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 xml:space="preserve">Le dossier,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rédigé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en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français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et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soumis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 en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ligne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 xml:space="preserve">, consiste </w:t>
      </w:r>
      <w:proofErr w:type="gramStart"/>
      <w:r w:rsidRPr="00216CB7">
        <w:rPr>
          <w:rFonts w:ascii="Open Sans" w:hAnsi="Open Sans" w:cs="Open Sans"/>
          <w:color w:val="1C1C1C"/>
          <w:sz w:val="23"/>
          <w:szCs w:val="23"/>
        </w:rPr>
        <w:t>en :</w:t>
      </w:r>
      <w:proofErr w:type="gramEnd"/>
    </w:p>
    <w:p w14:paraId="0DDD0A9F" w14:textId="77777777" w:rsidR="00216CB7" w:rsidRPr="00216CB7" w:rsidRDefault="00216CB7" w:rsidP="00216CB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hyperlink r:id="rId5" w:history="1">
        <w:r w:rsidRPr="00216CB7">
          <w:rPr>
            <w:rFonts w:ascii="Open Sans" w:hAnsi="Open Sans" w:cs="Open Sans"/>
            <w:color w:val="1C1C1C"/>
            <w:sz w:val="23"/>
            <w:szCs w:val="23"/>
            <w:u w:val="single"/>
          </w:rPr>
          <w:t xml:space="preserve">Un </w:t>
        </w:r>
        <w:proofErr w:type="spellStart"/>
        <w:r w:rsidRPr="00216CB7">
          <w:rPr>
            <w:rFonts w:ascii="Open Sans" w:hAnsi="Open Sans" w:cs="Open Sans"/>
            <w:color w:val="1C1C1C"/>
            <w:sz w:val="23"/>
            <w:szCs w:val="23"/>
            <w:u w:val="single"/>
          </w:rPr>
          <w:t>formulaire</w:t>
        </w:r>
        <w:proofErr w:type="spellEnd"/>
        <w:r w:rsidRPr="00216CB7">
          <w:rPr>
            <w:rFonts w:ascii="Open Sans" w:hAnsi="Open Sans" w:cs="Open Sans"/>
            <w:color w:val="1C1C1C"/>
            <w:sz w:val="23"/>
            <w:szCs w:val="23"/>
            <w:u w:val="single"/>
          </w:rPr>
          <w:t xml:space="preserve"> de candidature</w:t>
        </w:r>
      </w:hyperlink>
    </w:p>
    <w:p w14:paraId="73ED39A5" w14:textId="77777777" w:rsidR="00216CB7" w:rsidRPr="00216CB7" w:rsidRDefault="00216CB7" w:rsidP="00216CB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r w:rsidRPr="00216CB7">
        <w:rPr>
          <w:rFonts w:ascii="Open Sans" w:hAnsi="Open Sans" w:cs="Open Sans"/>
          <w:color w:val="1C1C1C"/>
          <w:sz w:val="23"/>
          <w:szCs w:val="23"/>
        </w:rPr>
        <w:t xml:space="preserve">Le CV 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du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/de la </w:t>
      </w:r>
      <w:proofErr w:type="spellStart"/>
      <w:r w:rsidRPr="00216CB7">
        <w:rPr>
          <w:rFonts w:ascii="Open Sans" w:hAnsi="Open Sans" w:cs="Open Sans"/>
          <w:color w:val="1C1C1C"/>
          <w:sz w:val="23"/>
          <w:szCs w:val="23"/>
        </w:rPr>
        <w:t>coordonnateur·trice</w:t>
      </w:r>
      <w:proofErr w:type="spellEnd"/>
      <w:r w:rsidRPr="00216CB7">
        <w:rPr>
          <w:rFonts w:ascii="Open Sans" w:hAnsi="Open Sans" w:cs="Open Sans"/>
          <w:color w:val="1C1C1C"/>
          <w:sz w:val="23"/>
          <w:szCs w:val="23"/>
        </w:rPr>
        <w:t> </w:t>
      </w:r>
    </w:p>
    <w:p w14:paraId="6EC95E82" w14:textId="1097F728" w:rsidR="00216CB7" w:rsidRPr="00216CB7" w:rsidRDefault="00216CB7" w:rsidP="00216CB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C1C1C"/>
          <w:sz w:val="23"/>
          <w:szCs w:val="23"/>
        </w:rPr>
      </w:pPr>
      <w:r>
        <w:rPr>
          <w:rFonts w:ascii="Open Sans" w:hAnsi="Open Sans" w:cs="Open Sans"/>
          <w:color w:val="1C1C1C"/>
          <w:sz w:val="23"/>
          <w:szCs w:val="23"/>
          <w:shd w:val="clear" w:color="auto" w:fill="FFFFFF"/>
        </w:rPr>
        <w:t>Un budget</w:t>
      </w:r>
    </w:p>
    <w:p w14:paraId="7EE111B8" w14:textId="12BD5FD3" w:rsidR="00717409" w:rsidRDefault="00717409"/>
    <w:sectPr w:rsidR="00717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7386"/>
    <w:multiLevelType w:val="multilevel"/>
    <w:tmpl w:val="60B6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37F26"/>
    <w:multiLevelType w:val="multilevel"/>
    <w:tmpl w:val="7416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890"/>
    <w:multiLevelType w:val="multilevel"/>
    <w:tmpl w:val="421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71181"/>
    <w:multiLevelType w:val="multilevel"/>
    <w:tmpl w:val="4A24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51610"/>
    <w:multiLevelType w:val="multilevel"/>
    <w:tmpl w:val="292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09"/>
    <w:rsid w:val="00216CB7"/>
    <w:rsid w:val="003E6485"/>
    <w:rsid w:val="007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8D04"/>
  <w15:chartTrackingRefBased/>
  <w15:docId w15:val="{BD1D254A-0F90-417F-8F1F-A167CB64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E64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64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E64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648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.surveymonkey.com/r/F62R9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2021-05-18T09:03:00Z</cp:lastPrinted>
  <dcterms:created xsi:type="dcterms:W3CDTF">2021-05-19T14:29:00Z</dcterms:created>
  <dcterms:modified xsi:type="dcterms:W3CDTF">2021-05-19T14:29:00Z</dcterms:modified>
</cp:coreProperties>
</file>